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622" w:rsidRDefault="009E2E41">
      <w:pPr>
        <w:rPr>
          <w:b/>
        </w:rPr>
      </w:pPr>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margin">
              <wp:posOffset>-1080134</wp:posOffset>
            </wp:positionH>
            <wp:positionV relativeFrom="paragraph">
              <wp:posOffset>-1028699</wp:posOffset>
            </wp:positionV>
            <wp:extent cx="7924800" cy="1938020"/>
            <wp:effectExtent l="0" t="0" r="0" b="0"/>
            <wp:wrapSquare wrapText="bothSides" distT="0" distB="0" distL="114300" distR="114300"/>
            <wp:docPr id="1" name="image2.jpg" descr="Plantillas1"/>
            <wp:cNvGraphicFramePr/>
            <a:graphic xmlns:a="http://schemas.openxmlformats.org/drawingml/2006/main">
              <a:graphicData uri="http://schemas.openxmlformats.org/drawingml/2006/picture">
                <pic:pic xmlns:pic="http://schemas.openxmlformats.org/drawingml/2006/picture">
                  <pic:nvPicPr>
                    <pic:cNvPr id="0" name="image2.jpg" descr="Plantillas1"/>
                    <pic:cNvPicPr preferRelativeResize="0"/>
                  </pic:nvPicPr>
                  <pic:blipFill>
                    <a:blip r:embed="rId4"/>
                    <a:srcRect/>
                    <a:stretch>
                      <a:fillRect/>
                    </a:stretch>
                  </pic:blipFill>
                  <pic:spPr>
                    <a:xfrm>
                      <a:off x="0" y="0"/>
                      <a:ext cx="7924800" cy="1938020"/>
                    </a:xfrm>
                    <a:prstGeom prst="rect">
                      <a:avLst/>
                    </a:prstGeom>
                    <a:ln/>
                  </pic:spPr>
                </pic:pic>
              </a:graphicData>
            </a:graphic>
          </wp:anchor>
        </w:drawing>
      </w:r>
    </w:p>
    <w:p w:rsidR="00453622" w:rsidRDefault="00453622">
      <w:pPr>
        <w:jc w:val="center"/>
        <w:rPr>
          <w:b/>
        </w:rPr>
      </w:pPr>
    </w:p>
    <w:p w:rsidR="00453622" w:rsidRDefault="009E2E41">
      <w:pPr>
        <w:jc w:val="center"/>
        <w:rPr>
          <w:b/>
        </w:rPr>
      </w:pPr>
      <w:r>
        <w:rPr>
          <w:b/>
        </w:rPr>
        <w:t>TRABAJO DE GRADO</w:t>
      </w:r>
    </w:p>
    <w:p w:rsidR="00453622" w:rsidRDefault="00453622">
      <w:pPr>
        <w:jc w:val="center"/>
        <w:rPr>
          <w:b/>
        </w:rPr>
      </w:pPr>
    </w:p>
    <w:p w:rsidR="00453622" w:rsidRDefault="00453622">
      <w:pPr>
        <w:jc w:val="center"/>
        <w:rPr>
          <w:b/>
        </w:rPr>
      </w:pPr>
    </w:p>
    <w:p w:rsidR="00453622" w:rsidRDefault="00453622">
      <w:pPr>
        <w:jc w:val="center"/>
        <w:rPr>
          <w:b/>
        </w:rPr>
      </w:pPr>
    </w:p>
    <w:p w:rsidR="00453622" w:rsidRDefault="00453622">
      <w:pPr>
        <w:jc w:val="center"/>
        <w:rPr>
          <w:b/>
        </w:rPr>
      </w:pPr>
    </w:p>
    <w:p w:rsidR="00453622" w:rsidRDefault="009E2E41">
      <w:pPr>
        <w:tabs>
          <w:tab w:val="left" w:pos="5907"/>
        </w:tabs>
        <w:rPr>
          <w:b/>
        </w:rPr>
      </w:pPr>
      <w:r>
        <w:rPr>
          <w:b/>
        </w:rPr>
        <w:t>Título</w:t>
      </w:r>
    </w:p>
    <w:p w:rsidR="00453622" w:rsidRDefault="00453622">
      <w:pPr>
        <w:tabs>
          <w:tab w:val="left" w:pos="5907"/>
        </w:tabs>
        <w:rPr>
          <w:b/>
        </w:rPr>
      </w:pPr>
    </w:p>
    <w:p w:rsidR="00453622" w:rsidRDefault="00A462F7">
      <w:pPr>
        <w:tabs>
          <w:tab w:val="left" w:pos="5907"/>
        </w:tabs>
        <w:rPr>
          <w:b/>
          <w:color w:val="000000"/>
        </w:rPr>
      </w:pPr>
      <w:r>
        <w:rPr>
          <w:color w:val="000000"/>
        </w:rPr>
        <w:t xml:space="preserve">Apoyo al </w:t>
      </w:r>
      <w:r w:rsidR="00AD5321">
        <w:rPr>
          <w:color w:val="000000"/>
        </w:rPr>
        <w:t>Á</w:t>
      </w:r>
      <w:r>
        <w:rPr>
          <w:color w:val="000000"/>
        </w:rPr>
        <w:t xml:space="preserve">rea Contable de la Empresa </w:t>
      </w:r>
      <w:proofErr w:type="spellStart"/>
      <w:r>
        <w:rPr>
          <w:color w:val="000000"/>
        </w:rPr>
        <w:t>Inverjenos</w:t>
      </w:r>
      <w:proofErr w:type="spellEnd"/>
      <w:r>
        <w:rPr>
          <w:color w:val="000000"/>
        </w:rPr>
        <w:t xml:space="preserve"> S.A.S</w:t>
      </w:r>
    </w:p>
    <w:p w:rsidR="00453622" w:rsidRDefault="00453622">
      <w:pPr>
        <w:tabs>
          <w:tab w:val="left" w:pos="5907"/>
        </w:tabs>
        <w:rPr>
          <w:b/>
          <w:color w:val="000000"/>
        </w:rPr>
      </w:pPr>
    </w:p>
    <w:p w:rsidR="00AD5321" w:rsidRDefault="00AD5321" w:rsidP="00AD5321">
      <w:pPr>
        <w:tabs>
          <w:tab w:val="left" w:pos="5907"/>
        </w:tabs>
        <w:rPr>
          <w:b/>
          <w:color w:val="000000"/>
        </w:rPr>
      </w:pPr>
      <w:r w:rsidRPr="00AD5321">
        <w:rPr>
          <w:color w:val="212121"/>
          <w:lang w:val="en"/>
        </w:rPr>
        <w:t>Support to the Company Accounting Area</w:t>
      </w:r>
      <w:r>
        <w:rPr>
          <w:color w:val="212121"/>
          <w:lang w:val="en"/>
        </w:rPr>
        <w:t xml:space="preserve"> </w:t>
      </w:r>
      <w:proofErr w:type="spellStart"/>
      <w:r>
        <w:rPr>
          <w:color w:val="000000"/>
        </w:rPr>
        <w:t>Inverjenos</w:t>
      </w:r>
      <w:proofErr w:type="spellEnd"/>
      <w:r>
        <w:rPr>
          <w:color w:val="000000"/>
        </w:rPr>
        <w:t xml:space="preserve"> S.A.S</w:t>
      </w:r>
    </w:p>
    <w:p w:rsidR="00AD5321" w:rsidRPr="00AD5321" w:rsidRDefault="00AD5321" w:rsidP="00AD53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453622" w:rsidRDefault="00453622">
      <w:pPr>
        <w:tabs>
          <w:tab w:val="left" w:pos="5907"/>
        </w:tabs>
        <w:rPr>
          <w:b/>
          <w:color w:val="000000"/>
        </w:rPr>
      </w:pPr>
    </w:p>
    <w:p w:rsidR="00453622" w:rsidRDefault="00453622">
      <w:pPr>
        <w:tabs>
          <w:tab w:val="left" w:pos="5907"/>
        </w:tabs>
        <w:rPr>
          <w:b/>
          <w:color w:val="000000"/>
        </w:rPr>
      </w:pPr>
    </w:p>
    <w:p w:rsidR="00453622" w:rsidRDefault="009E2E41">
      <w:pPr>
        <w:tabs>
          <w:tab w:val="left" w:pos="5907"/>
        </w:tabs>
        <w:rPr>
          <w:b/>
          <w:color w:val="000000"/>
        </w:rPr>
      </w:pPr>
      <w:r>
        <w:rPr>
          <w:b/>
          <w:color w:val="000000"/>
        </w:rPr>
        <w:t>Autor</w:t>
      </w:r>
    </w:p>
    <w:p w:rsidR="00453622" w:rsidRDefault="00453622">
      <w:pPr>
        <w:tabs>
          <w:tab w:val="left" w:pos="5907"/>
        </w:tabs>
        <w:rPr>
          <w:b/>
          <w:color w:val="000000"/>
        </w:rPr>
      </w:pPr>
    </w:p>
    <w:p w:rsidR="00453622" w:rsidRDefault="008954B5">
      <w:pPr>
        <w:tabs>
          <w:tab w:val="left" w:pos="5907"/>
        </w:tabs>
        <w:rPr>
          <w:b/>
          <w:color w:val="000000"/>
        </w:rPr>
      </w:pPr>
      <w:r>
        <w:rPr>
          <w:color w:val="000000"/>
        </w:rPr>
        <w:t>Cuadrado, R. E.</w:t>
      </w:r>
    </w:p>
    <w:p w:rsidR="00453622" w:rsidRDefault="00453622">
      <w:pPr>
        <w:tabs>
          <w:tab w:val="left" w:pos="5907"/>
        </w:tabs>
        <w:rPr>
          <w:b/>
          <w:color w:val="000000"/>
        </w:rPr>
      </w:pPr>
    </w:p>
    <w:p w:rsidR="00453622" w:rsidRDefault="009E2E41">
      <w:pPr>
        <w:tabs>
          <w:tab w:val="left" w:pos="5907"/>
        </w:tabs>
        <w:rPr>
          <w:b/>
          <w:color w:val="000000"/>
        </w:rPr>
      </w:pPr>
      <w:r>
        <w:rPr>
          <w:b/>
          <w:color w:val="000000"/>
        </w:rPr>
        <w:t>Publicación</w:t>
      </w:r>
    </w:p>
    <w:p w:rsidR="00453622" w:rsidRDefault="00453622">
      <w:pPr>
        <w:tabs>
          <w:tab w:val="left" w:pos="5907"/>
        </w:tabs>
        <w:rPr>
          <w:b/>
          <w:color w:val="000000"/>
        </w:rPr>
      </w:pPr>
    </w:p>
    <w:p w:rsidR="00453622" w:rsidRDefault="009E2E41">
      <w:pPr>
        <w:tabs>
          <w:tab w:val="left" w:pos="5907"/>
        </w:tabs>
        <w:rPr>
          <w:color w:val="000000"/>
        </w:rPr>
      </w:pPr>
      <w:r>
        <w:rPr>
          <w:color w:val="000000"/>
        </w:rPr>
        <w:t>Bogotá, Corporación Universitaria Minuto</w:t>
      </w:r>
      <w:r w:rsidR="008954B5">
        <w:rPr>
          <w:color w:val="000000"/>
        </w:rPr>
        <w:t xml:space="preserve"> de Dios- UNIMINUTO U.V.D-, 2018. 66</w:t>
      </w:r>
      <w:r>
        <w:rPr>
          <w:color w:val="000000"/>
        </w:rPr>
        <w:t xml:space="preserve"> páginas.</w:t>
      </w:r>
    </w:p>
    <w:p w:rsidR="00453622" w:rsidRDefault="00453622">
      <w:pPr>
        <w:tabs>
          <w:tab w:val="left" w:pos="5907"/>
        </w:tabs>
        <w:rPr>
          <w:color w:val="000000"/>
        </w:rPr>
      </w:pPr>
    </w:p>
    <w:p w:rsidR="00453622" w:rsidRDefault="00453622">
      <w:pPr>
        <w:tabs>
          <w:tab w:val="left" w:pos="5907"/>
        </w:tabs>
        <w:rPr>
          <w:b/>
          <w:color w:val="000000"/>
        </w:rPr>
      </w:pPr>
    </w:p>
    <w:p w:rsidR="00453622" w:rsidRDefault="00453622">
      <w:pPr>
        <w:tabs>
          <w:tab w:val="left" w:pos="5907"/>
        </w:tabs>
        <w:rPr>
          <w:color w:val="000000"/>
        </w:rPr>
      </w:pPr>
    </w:p>
    <w:p w:rsidR="00453622" w:rsidRDefault="009E2E41">
      <w:pPr>
        <w:tabs>
          <w:tab w:val="left" w:pos="5907"/>
        </w:tabs>
        <w:rPr>
          <w:b/>
          <w:color w:val="000000"/>
        </w:rPr>
      </w:pPr>
      <w:r>
        <w:rPr>
          <w:b/>
          <w:color w:val="000000"/>
        </w:rPr>
        <w:t>Palabras Claves</w:t>
      </w:r>
    </w:p>
    <w:p w:rsidR="00453622" w:rsidRDefault="00453622">
      <w:pPr>
        <w:tabs>
          <w:tab w:val="left" w:pos="5907"/>
        </w:tabs>
        <w:rPr>
          <w:b/>
          <w:color w:val="000000"/>
        </w:rPr>
      </w:pPr>
    </w:p>
    <w:p w:rsidR="00453622" w:rsidRDefault="008954B5">
      <w:pPr>
        <w:tabs>
          <w:tab w:val="left" w:pos="5907"/>
        </w:tabs>
        <w:rPr>
          <w:color w:val="000000"/>
        </w:rPr>
      </w:pPr>
      <w:r>
        <w:rPr>
          <w:color w:val="000000"/>
        </w:rPr>
        <w:t>Control de Inventarios, Conciliaciones, Normas y leyes.</w:t>
      </w:r>
    </w:p>
    <w:p w:rsidR="00453622" w:rsidRDefault="00453622">
      <w:pPr>
        <w:tabs>
          <w:tab w:val="left" w:pos="5907"/>
        </w:tabs>
        <w:rPr>
          <w:color w:val="000000"/>
        </w:rPr>
      </w:pPr>
    </w:p>
    <w:p w:rsidR="00453622" w:rsidRDefault="00453622">
      <w:pPr>
        <w:tabs>
          <w:tab w:val="left" w:pos="5907"/>
        </w:tabs>
        <w:rPr>
          <w:color w:val="000000"/>
        </w:rPr>
      </w:pPr>
    </w:p>
    <w:p w:rsidR="00453622" w:rsidRDefault="00453622">
      <w:pPr>
        <w:tabs>
          <w:tab w:val="left" w:pos="5907"/>
        </w:tabs>
        <w:rPr>
          <w:color w:val="000000"/>
        </w:rPr>
      </w:pPr>
    </w:p>
    <w:p w:rsidR="008954B5" w:rsidRDefault="008954B5">
      <w:pPr>
        <w:tabs>
          <w:tab w:val="left" w:pos="5907"/>
        </w:tabs>
        <w:rPr>
          <w:color w:val="000000"/>
        </w:rPr>
      </w:pPr>
    </w:p>
    <w:p w:rsidR="008954B5" w:rsidRDefault="008954B5">
      <w:pPr>
        <w:tabs>
          <w:tab w:val="left" w:pos="5907"/>
        </w:tabs>
        <w:rPr>
          <w:color w:val="000000"/>
        </w:rPr>
      </w:pPr>
    </w:p>
    <w:p w:rsidR="008954B5" w:rsidRDefault="008954B5">
      <w:pPr>
        <w:tabs>
          <w:tab w:val="left" w:pos="5907"/>
        </w:tabs>
        <w:rPr>
          <w:color w:val="000000"/>
        </w:rPr>
      </w:pPr>
    </w:p>
    <w:p w:rsidR="008954B5" w:rsidRDefault="008954B5">
      <w:pPr>
        <w:tabs>
          <w:tab w:val="left" w:pos="5907"/>
        </w:tabs>
        <w:rPr>
          <w:color w:val="000000"/>
        </w:rPr>
      </w:pPr>
    </w:p>
    <w:p w:rsidR="008954B5" w:rsidRDefault="008954B5">
      <w:pPr>
        <w:tabs>
          <w:tab w:val="left" w:pos="5907"/>
        </w:tabs>
        <w:rPr>
          <w:color w:val="000000"/>
        </w:rPr>
      </w:pPr>
    </w:p>
    <w:p w:rsidR="008954B5" w:rsidRDefault="008954B5">
      <w:pPr>
        <w:tabs>
          <w:tab w:val="left" w:pos="5907"/>
        </w:tabs>
        <w:rPr>
          <w:color w:val="000000"/>
        </w:rPr>
      </w:pPr>
    </w:p>
    <w:p w:rsidR="008954B5" w:rsidRDefault="008954B5">
      <w:pPr>
        <w:tabs>
          <w:tab w:val="left" w:pos="5907"/>
        </w:tabs>
        <w:rPr>
          <w:color w:val="000000"/>
        </w:rPr>
      </w:pPr>
    </w:p>
    <w:p w:rsidR="008954B5" w:rsidRDefault="008954B5">
      <w:pPr>
        <w:tabs>
          <w:tab w:val="left" w:pos="5907"/>
        </w:tabs>
        <w:rPr>
          <w:color w:val="000000"/>
        </w:rPr>
      </w:pPr>
    </w:p>
    <w:p w:rsidR="00152490" w:rsidRDefault="00152490">
      <w:pPr>
        <w:tabs>
          <w:tab w:val="left" w:pos="5907"/>
        </w:tabs>
        <w:rPr>
          <w:color w:val="000000"/>
        </w:rPr>
      </w:pPr>
    </w:p>
    <w:p w:rsidR="008954B5" w:rsidRDefault="008954B5">
      <w:pPr>
        <w:tabs>
          <w:tab w:val="left" w:pos="5907"/>
        </w:tabs>
        <w:rPr>
          <w:color w:val="000000"/>
        </w:rPr>
      </w:pPr>
    </w:p>
    <w:p w:rsidR="00453622" w:rsidRDefault="00453622">
      <w:pPr>
        <w:tabs>
          <w:tab w:val="left" w:pos="5907"/>
        </w:tabs>
        <w:rPr>
          <w:color w:val="000000"/>
        </w:rPr>
      </w:pPr>
    </w:p>
    <w:p w:rsidR="00453622" w:rsidRDefault="00453622">
      <w:pPr>
        <w:tabs>
          <w:tab w:val="left" w:pos="5907"/>
        </w:tabs>
        <w:rPr>
          <w:color w:val="000000"/>
        </w:rPr>
      </w:pPr>
    </w:p>
    <w:p w:rsidR="00453622" w:rsidRDefault="009E2E41">
      <w:pPr>
        <w:tabs>
          <w:tab w:val="left" w:pos="5907"/>
        </w:tabs>
        <w:rPr>
          <w:b/>
          <w:color w:val="000000"/>
        </w:rPr>
      </w:pPr>
      <w:r>
        <w:rPr>
          <w:b/>
          <w:color w:val="000000"/>
        </w:rPr>
        <w:lastRenderedPageBreak/>
        <w:t>Descripción</w:t>
      </w:r>
    </w:p>
    <w:p w:rsidR="00453622" w:rsidRDefault="00453622">
      <w:pPr>
        <w:jc w:val="both"/>
      </w:pPr>
    </w:p>
    <w:p w:rsidR="00453622" w:rsidRDefault="008954B5">
      <w:pPr>
        <w:spacing w:line="360" w:lineRule="auto"/>
        <w:jc w:val="both"/>
      </w:pPr>
      <w:r>
        <w:t>El presente trabajo</w:t>
      </w:r>
      <w:r w:rsidR="009E2E41">
        <w:t xml:space="preserve"> parte de </w:t>
      </w:r>
      <w:r>
        <w:t xml:space="preserve">conocer  empresa o lugar </w:t>
      </w:r>
      <w:r w:rsidR="00285051">
        <w:t>con una bre</w:t>
      </w:r>
      <w:r>
        <w:t xml:space="preserve">ve descripción donde el estudiante realiza la </w:t>
      </w:r>
      <w:r w:rsidR="00285051">
        <w:t>práctica</w:t>
      </w:r>
      <w:r>
        <w:t xml:space="preserve"> profesional</w:t>
      </w:r>
      <w:r w:rsidR="009E2E41">
        <w:t xml:space="preserve">, </w:t>
      </w:r>
      <w:r>
        <w:t>como posibilidad para que este aplique los conocimientos adquiridos durante su proceso de aprendizaje</w:t>
      </w:r>
      <w:r w:rsidR="009E2E41">
        <w:t xml:space="preserve">, </w:t>
      </w:r>
      <w:r>
        <w:t>de esta forma permite al estudiante</w:t>
      </w:r>
      <w:r w:rsidR="00285051">
        <w:t xml:space="preserve"> indagar mediante el apoyo al área asignada de contabilidad sobre lo que implica ejercer como profesional y las responsabilidades que se asumen, para  esto la empresa aporta las herramientas necesarias y da una orientación para que sus actividades puedan desempeñarse de la forma adecuada y al mismo tiempo le aporte y ayude a mantener la información actualizada, convirtiéndose en una experiencia para el estudiante única, además que le permite contextualizar lo que significa enfrentarse a las exigencias de un mercado laboral que exige conocimientos, competencias y experiencia. </w:t>
      </w:r>
    </w:p>
    <w:p w:rsidR="00453622" w:rsidRDefault="00453622">
      <w:pPr>
        <w:tabs>
          <w:tab w:val="left" w:pos="5907"/>
        </w:tabs>
        <w:rPr>
          <w:b/>
          <w:color w:val="000000"/>
        </w:rPr>
      </w:pPr>
    </w:p>
    <w:p w:rsidR="00453622" w:rsidRDefault="009E2E41">
      <w:pPr>
        <w:tabs>
          <w:tab w:val="left" w:pos="1044"/>
          <w:tab w:val="left" w:pos="5907"/>
        </w:tabs>
        <w:spacing w:line="360" w:lineRule="auto"/>
        <w:jc w:val="both"/>
        <w:rPr>
          <w:b/>
        </w:rPr>
      </w:pPr>
      <w:r>
        <w:rPr>
          <w:b/>
        </w:rPr>
        <w:t>Fuentes</w:t>
      </w:r>
    </w:p>
    <w:p w:rsidR="00453622" w:rsidRDefault="00453622">
      <w:pPr>
        <w:tabs>
          <w:tab w:val="left" w:pos="1044"/>
          <w:tab w:val="left" w:pos="5907"/>
        </w:tabs>
        <w:spacing w:line="360" w:lineRule="auto"/>
        <w:jc w:val="both"/>
        <w:rPr>
          <w:b/>
        </w:rPr>
      </w:pPr>
    </w:p>
    <w:p w:rsidR="00285051" w:rsidRDefault="00285051" w:rsidP="00285051">
      <w:pPr>
        <w:jc w:val="both"/>
        <w:rPr>
          <w:i/>
          <w:highlight w:val="white"/>
        </w:rPr>
      </w:pPr>
      <w:r>
        <w:t xml:space="preserve">Congreso de la República (2009) Ley 1314 de 2009, </w:t>
      </w:r>
      <w:r>
        <w:rPr>
          <w:i/>
          <w:highlight w:val="white"/>
        </w:rPr>
        <w:t xml:space="preserve">por la cual se regulan los principios y </w:t>
      </w:r>
    </w:p>
    <w:p w:rsidR="00285051" w:rsidRDefault="00285051" w:rsidP="00285051">
      <w:pPr>
        <w:ind w:left="720"/>
        <w:jc w:val="both"/>
        <w:rPr>
          <w:i/>
          <w:highlight w:val="white"/>
        </w:rPr>
      </w:pPr>
      <w:r>
        <w:rPr>
          <w:i/>
          <w:highlight w:val="white"/>
        </w:rPr>
        <w:t xml:space="preserve">normas de contabilidad e información financiera y de aseguramiento de información aceptados en Colombia, se señalan las autoridades competentes, el procedimiento para su expedición y se determinan las entidades responsables de vigilar su cumplimiento. Recuperado el 20 de abril de: </w:t>
      </w:r>
      <w:hyperlink r:id="rId5">
        <w:r>
          <w:rPr>
            <w:color w:val="000000"/>
            <w:highlight w:val="white"/>
          </w:rPr>
          <w:t>http://www.alcaldiabogota.gov.co/sisjur/normas/Norma1.jsp?i=36833</w:t>
        </w:r>
      </w:hyperlink>
    </w:p>
    <w:p w:rsidR="00285051" w:rsidRDefault="00285051" w:rsidP="00285051">
      <w:pPr>
        <w:jc w:val="both"/>
        <w:rPr>
          <w:b/>
          <w:i/>
        </w:rPr>
      </w:pPr>
    </w:p>
    <w:p w:rsidR="00285051" w:rsidRDefault="00285051" w:rsidP="00285051">
      <w:pPr>
        <w:jc w:val="both"/>
        <w:rPr>
          <w:i/>
        </w:rPr>
      </w:pPr>
      <w:r>
        <w:t xml:space="preserve">Congreso de la República (1990) Ley 43 de 1990, </w:t>
      </w:r>
      <w:r>
        <w:rPr>
          <w:i/>
        </w:rPr>
        <w:t xml:space="preserve">por la cual se reglamenta la profesión del </w:t>
      </w:r>
    </w:p>
    <w:p w:rsidR="00285051" w:rsidRPr="007034AB" w:rsidRDefault="00285051" w:rsidP="00285051">
      <w:pPr>
        <w:ind w:left="720"/>
        <w:jc w:val="both"/>
        <w:rPr>
          <w:i/>
        </w:rPr>
      </w:pPr>
      <w:r>
        <w:rPr>
          <w:i/>
        </w:rPr>
        <w:t>contador público</w:t>
      </w:r>
      <w:r>
        <w:t xml:space="preserve"> y se </w:t>
      </w:r>
      <w:r w:rsidRPr="007034AB">
        <w:rPr>
          <w:i/>
        </w:rPr>
        <w:t>dictan otras disposiciones</w:t>
      </w:r>
      <w:r>
        <w:t xml:space="preserve">. Recuperado de: </w:t>
      </w:r>
      <w:hyperlink r:id="rId6">
        <w:r>
          <w:rPr>
            <w:color w:val="000000"/>
          </w:rPr>
          <w:t>https://www.mineducacion.gov.co/1759/articles-104547_archivo_pdf.pdf</w:t>
        </w:r>
      </w:hyperlink>
    </w:p>
    <w:p w:rsidR="00285051" w:rsidRDefault="00285051" w:rsidP="00285051">
      <w:pPr>
        <w:jc w:val="both"/>
        <w:rPr>
          <w:i/>
          <w:color w:val="000000"/>
        </w:rPr>
      </w:pPr>
    </w:p>
    <w:p w:rsidR="00285051" w:rsidRDefault="00285051" w:rsidP="00285051">
      <w:pPr>
        <w:jc w:val="both"/>
      </w:pPr>
    </w:p>
    <w:p w:rsidR="00285051" w:rsidRDefault="00285051" w:rsidP="00285051">
      <w:pPr>
        <w:jc w:val="both"/>
        <w:rPr>
          <w:rFonts w:ascii="Helvetica Neue" w:eastAsia="Helvetica Neue" w:hAnsi="Helvetica Neue" w:cs="Helvetica Neue"/>
          <w:color w:val="000000"/>
          <w:sz w:val="20"/>
          <w:szCs w:val="20"/>
          <w:highlight w:val="white"/>
        </w:rPr>
      </w:pPr>
      <w:r>
        <w:t xml:space="preserve">Gómez B, O. (2005) </w:t>
      </w:r>
      <w:r>
        <w:rPr>
          <w:i/>
        </w:rPr>
        <w:t>Contabilidad de Costos</w:t>
      </w:r>
      <w:r>
        <w:t xml:space="preserve">, quinta edición, editorial </w:t>
      </w:r>
      <w:r>
        <w:rPr>
          <w:rFonts w:ascii="Helvetica Neue" w:eastAsia="Helvetica Neue" w:hAnsi="Helvetica Neue" w:cs="Helvetica Neue"/>
          <w:color w:val="000000"/>
          <w:sz w:val="20"/>
          <w:szCs w:val="20"/>
          <w:highlight w:val="white"/>
        </w:rPr>
        <w:t>McGraw-Hill, Bogotá D.C.</w:t>
      </w:r>
    </w:p>
    <w:p w:rsidR="00285051" w:rsidRDefault="00285051" w:rsidP="00285051">
      <w:pPr>
        <w:jc w:val="both"/>
        <w:rPr>
          <w:color w:val="000000"/>
        </w:rPr>
      </w:pPr>
    </w:p>
    <w:p w:rsidR="00285051" w:rsidRDefault="00285051" w:rsidP="00285051">
      <w:pPr>
        <w:jc w:val="both"/>
      </w:pPr>
      <w:r>
        <w:t xml:space="preserve">Jeno`s Pizza (2017) </w:t>
      </w:r>
      <w:r>
        <w:rPr>
          <w:i/>
        </w:rPr>
        <w:t>Misión, Visión y Valores corporativos,</w:t>
      </w:r>
      <w:r>
        <w:t xml:space="preserve"> Departamento de recursos humanos.</w:t>
      </w:r>
    </w:p>
    <w:p w:rsidR="00285051" w:rsidRDefault="00285051" w:rsidP="00285051">
      <w:pPr>
        <w:jc w:val="both"/>
      </w:pPr>
    </w:p>
    <w:p w:rsidR="00285051" w:rsidRDefault="00285051" w:rsidP="00285051">
      <w:pPr>
        <w:jc w:val="both"/>
        <w:rPr>
          <w:i/>
          <w:color w:val="000000"/>
        </w:rPr>
      </w:pPr>
      <w:r>
        <w:rPr>
          <w:color w:val="000000"/>
        </w:rPr>
        <w:t xml:space="preserve">Portafolio de Estudio, técnicas de estudio (2017) </w:t>
      </w:r>
      <w:r>
        <w:rPr>
          <w:i/>
          <w:color w:val="000000"/>
        </w:rPr>
        <w:t xml:space="preserve">Análisis FODA personal y utilización de </w:t>
      </w:r>
    </w:p>
    <w:p w:rsidR="00285051" w:rsidRDefault="00285051" w:rsidP="00285051">
      <w:pPr>
        <w:ind w:left="708"/>
        <w:jc w:val="both"/>
        <w:rPr>
          <w:color w:val="000000"/>
        </w:rPr>
      </w:pPr>
      <w:r>
        <w:rPr>
          <w:i/>
          <w:color w:val="000000"/>
        </w:rPr>
        <w:t>estrategias</w:t>
      </w:r>
      <w:r>
        <w:rPr>
          <w:color w:val="000000"/>
        </w:rPr>
        <w:t xml:space="preserve">, bloc, recuperado el 10 de junio de: </w:t>
      </w:r>
      <w:hyperlink r:id="rId7">
        <w:r>
          <w:rPr>
            <w:color w:val="000000"/>
          </w:rPr>
          <w:t>https://sites.google.com/site/studentportfalio/10-coleccion-de-trabajos-individuales-y-en-equipo/10-13-analisis-foda-personal-y-utilizando-estrategias</w:t>
        </w:r>
      </w:hyperlink>
    </w:p>
    <w:p w:rsidR="00285051" w:rsidRDefault="00285051" w:rsidP="00285051">
      <w:pPr>
        <w:jc w:val="both"/>
        <w:rPr>
          <w:color w:val="0000FF"/>
          <w:u w:val="single"/>
        </w:rPr>
      </w:pPr>
    </w:p>
    <w:p w:rsidR="00285051" w:rsidRDefault="00285051" w:rsidP="00285051">
      <w:pPr>
        <w:jc w:val="both"/>
        <w:rPr>
          <w:color w:val="000000"/>
          <w:u w:val="single"/>
        </w:rPr>
      </w:pPr>
      <w:proofErr w:type="spellStart"/>
      <w:r>
        <w:t>Lucidchart</w:t>
      </w:r>
      <w:proofErr w:type="spellEnd"/>
      <w:r>
        <w:rPr>
          <w:color w:val="000000"/>
        </w:rPr>
        <w:t xml:space="preserve"> (2018) Herramienta para hacer organigramas recuperado de:</w:t>
      </w:r>
      <w:r>
        <w:rPr>
          <w:color w:val="000000"/>
          <w:u w:val="single"/>
        </w:rPr>
        <w:t xml:space="preserve"> </w:t>
      </w:r>
    </w:p>
    <w:p w:rsidR="00285051" w:rsidRDefault="002820E8" w:rsidP="00285051">
      <w:pPr>
        <w:ind w:left="708"/>
        <w:jc w:val="both"/>
        <w:rPr>
          <w:color w:val="000000"/>
        </w:rPr>
      </w:pPr>
      <w:hyperlink r:id="rId8">
        <w:r w:rsidR="00285051">
          <w:rPr>
            <w:color w:val="000000"/>
          </w:rPr>
          <w:t>file:///C:/Users/Edward%20Cuadrado/Downloads/Malla%20Contadur%C3%ADa%20P%C3%BAblica.pdf</w:t>
        </w:r>
      </w:hyperlink>
    </w:p>
    <w:p w:rsidR="00285051" w:rsidRDefault="00285051" w:rsidP="00285051">
      <w:pPr>
        <w:jc w:val="both"/>
        <w:rPr>
          <w:color w:val="000000"/>
        </w:rPr>
      </w:pPr>
    </w:p>
    <w:p w:rsidR="00285051" w:rsidRDefault="00285051" w:rsidP="00285051">
      <w:pPr>
        <w:jc w:val="both"/>
        <w:rPr>
          <w:color w:val="000000"/>
        </w:rPr>
      </w:pPr>
      <w:r>
        <w:rPr>
          <w:color w:val="000000"/>
        </w:rPr>
        <w:t>UNIMINUTO (2018) Malla curricular recuperado el 20 de enero de:</w:t>
      </w:r>
    </w:p>
    <w:p w:rsidR="00285051" w:rsidRDefault="002820E8" w:rsidP="00285051">
      <w:pPr>
        <w:ind w:left="708"/>
        <w:jc w:val="both"/>
        <w:rPr>
          <w:color w:val="000000"/>
        </w:rPr>
      </w:pPr>
      <w:hyperlink r:id="rId9">
        <w:r w:rsidR="00285051">
          <w:rPr>
            <w:color w:val="000000"/>
          </w:rPr>
          <w:t>file:///C:/Users/Edward%20Cuadrado/Downloads/Malla%20Contadur%C3%ADa%20P%C3%BAblica.pdf</w:t>
        </w:r>
      </w:hyperlink>
    </w:p>
    <w:p w:rsidR="00285051" w:rsidRDefault="00285051" w:rsidP="00285051">
      <w:pPr>
        <w:jc w:val="both"/>
        <w:rPr>
          <w:i/>
          <w:highlight w:val="white"/>
        </w:rPr>
      </w:pPr>
      <w:r>
        <w:rPr>
          <w:color w:val="000000"/>
        </w:rPr>
        <w:t xml:space="preserve">Presidencia de la Republica (2016) </w:t>
      </w:r>
      <w:r>
        <w:rPr>
          <w:highlight w:val="white"/>
        </w:rPr>
        <w:t xml:space="preserve">Ley 1819 del 29 de diciembre del 2016, </w:t>
      </w:r>
      <w:r>
        <w:rPr>
          <w:i/>
          <w:highlight w:val="white"/>
        </w:rPr>
        <w:t xml:space="preserve">Reforma Tributaria </w:t>
      </w:r>
    </w:p>
    <w:p w:rsidR="00285051" w:rsidRDefault="00285051" w:rsidP="00285051">
      <w:pPr>
        <w:ind w:left="708"/>
        <w:jc w:val="both"/>
        <w:rPr>
          <w:color w:val="000000"/>
        </w:rPr>
      </w:pPr>
      <w:r>
        <w:rPr>
          <w:i/>
          <w:highlight w:val="white"/>
        </w:rPr>
        <w:t>Estructural.</w:t>
      </w:r>
      <w:r>
        <w:rPr>
          <w:highlight w:val="white"/>
        </w:rPr>
        <w:t xml:space="preserve"> Recuperado el 06 de marzo de</w:t>
      </w:r>
      <w:r>
        <w:rPr>
          <w:color w:val="000000"/>
          <w:highlight w:val="white"/>
        </w:rPr>
        <w:t xml:space="preserve">: </w:t>
      </w:r>
      <w:hyperlink r:id="rId10">
        <w:r>
          <w:rPr>
            <w:color w:val="000000"/>
          </w:rPr>
          <w:t>http://www.gydconsulting.com/userfiles/Ley-1819-29-dic-16-Reforma-Tributaria-Diario-Oficial-50101.pdf</w:t>
        </w:r>
      </w:hyperlink>
    </w:p>
    <w:p w:rsidR="00285051" w:rsidRDefault="00285051" w:rsidP="00285051">
      <w:pPr>
        <w:jc w:val="both"/>
      </w:pPr>
    </w:p>
    <w:p w:rsidR="00285051" w:rsidRDefault="00285051" w:rsidP="00285051">
      <w:pPr>
        <w:pBdr>
          <w:top w:val="nil"/>
          <w:left w:val="nil"/>
          <w:bottom w:val="nil"/>
          <w:right w:val="nil"/>
          <w:between w:val="nil"/>
        </w:pBdr>
        <w:shd w:val="clear" w:color="auto" w:fill="FFFFFF"/>
        <w:spacing w:after="150"/>
        <w:rPr>
          <w:i/>
          <w:color w:val="000000"/>
        </w:rPr>
      </w:pPr>
      <w:r>
        <w:rPr>
          <w:color w:val="000000"/>
        </w:rPr>
        <w:t xml:space="preserve">Presidencia de la </w:t>
      </w:r>
      <w:r>
        <w:t>República</w:t>
      </w:r>
      <w:r>
        <w:rPr>
          <w:color w:val="000000"/>
        </w:rPr>
        <w:t xml:space="preserve"> (1989) decreto 624 de 1989, </w:t>
      </w:r>
      <w:r>
        <w:rPr>
          <w:i/>
          <w:color w:val="000000"/>
        </w:rPr>
        <w:t>Modificado por el Decreto</w:t>
      </w:r>
    </w:p>
    <w:p w:rsidR="00285051" w:rsidRDefault="00285051" w:rsidP="00285051">
      <w:pPr>
        <w:pBdr>
          <w:top w:val="nil"/>
          <w:left w:val="nil"/>
          <w:bottom w:val="nil"/>
          <w:right w:val="nil"/>
          <w:between w:val="nil"/>
        </w:pBdr>
        <w:shd w:val="clear" w:color="auto" w:fill="FFFFFF"/>
        <w:spacing w:after="150"/>
        <w:ind w:left="708"/>
        <w:rPr>
          <w:color w:val="000000"/>
          <w:highlight w:val="white"/>
        </w:rPr>
      </w:pPr>
      <w:r>
        <w:rPr>
          <w:i/>
          <w:color w:val="000000"/>
        </w:rPr>
        <w:t>Nacional </w:t>
      </w:r>
      <w:hyperlink r:id="rId11" w:anchor="1">
        <w:r>
          <w:rPr>
            <w:i/>
            <w:color w:val="000000"/>
          </w:rPr>
          <w:t>3258 de 2002</w:t>
        </w:r>
      </w:hyperlink>
      <w:r>
        <w:rPr>
          <w:i/>
          <w:color w:val="000000"/>
        </w:rPr>
        <w:t> y las Leyes </w:t>
      </w:r>
      <w:hyperlink r:id="rId12" w:anchor="0">
        <w:r>
          <w:rPr>
            <w:i/>
            <w:color w:val="000000"/>
          </w:rPr>
          <w:t>383 de 1997</w:t>
        </w:r>
      </w:hyperlink>
      <w:r>
        <w:rPr>
          <w:i/>
          <w:color w:val="000000"/>
        </w:rPr>
        <w:t>, </w:t>
      </w:r>
      <w:hyperlink r:id="rId13" w:anchor="0">
        <w:r>
          <w:rPr>
            <w:i/>
            <w:color w:val="000000"/>
          </w:rPr>
          <w:t>488 de 1998 </w:t>
        </w:r>
      </w:hyperlink>
      <w:r>
        <w:rPr>
          <w:i/>
          <w:color w:val="000000"/>
        </w:rPr>
        <w:t>y </w:t>
      </w:r>
      <w:hyperlink r:id="rId14" w:anchor="0">
        <w:r>
          <w:rPr>
            <w:i/>
            <w:color w:val="000000"/>
          </w:rPr>
          <w:t>863 de 2003</w:t>
        </w:r>
      </w:hyperlink>
      <w:r>
        <w:rPr>
          <w:i/>
          <w:color w:val="000000"/>
        </w:rPr>
        <w:t>.Reglamentado parcialmente por los Decretos Nacionales: </w:t>
      </w:r>
      <w:hyperlink r:id="rId15" w:anchor="1">
        <w:r>
          <w:rPr>
            <w:i/>
            <w:color w:val="000000"/>
          </w:rPr>
          <w:t>422 de 1991</w:t>
        </w:r>
      </w:hyperlink>
      <w:r>
        <w:rPr>
          <w:i/>
          <w:color w:val="000000"/>
        </w:rPr>
        <w:t>; </w:t>
      </w:r>
      <w:hyperlink r:id="rId16" w:anchor="1">
        <w:r>
          <w:rPr>
            <w:i/>
            <w:color w:val="000000"/>
          </w:rPr>
          <w:t>847</w:t>
        </w:r>
      </w:hyperlink>
      <w:r>
        <w:rPr>
          <w:i/>
          <w:color w:val="000000"/>
        </w:rPr>
        <w:t> , </w:t>
      </w:r>
      <w:hyperlink r:id="rId17" w:anchor="1">
        <w:r>
          <w:rPr>
            <w:i/>
            <w:color w:val="000000"/>
          </w:rPr>
          <w:t>1333</w:t>
        </w:r>
      </w:hyperlink>
      <w:r>
        <w:rPr>
          <w:i/>
          <w:color w:val="000000"/>
        </w:rPr>
        <w:t> y </w:t>
      </w:r>
      <w:hyperlink r:id="rId18" w:anchor="1">
        <w:r>
          <w:rPr>
            <w:i/>
            <w:color w:val="000000"/>
          </w:rPr>
          <w:t>1960</w:t>
        </w:r>
      </w:hyperlink>
      <w:r>
        <w:rPr>
          <w:i/>
          <w:color w:val="000000"/>
        </w:rPr>
        <w:t> de 1996; </w:t>
      </w:r>
      <w:hyperlink r:id="rId19" w:anchor="1">
        <w:r>
          <w:rPr>
            <w:i/>
            <w:color w:val="000000"/>
          </w:rPr>
          <w:t>3050</w:t>
        </w:r>
      </w:hyperlink>
      <w:r>
        <w:rPr>
          <w:i/>
          <w:color w:val="000000"/>
        </w:rPr>
        <w:t> , </w:t>
      </w:r>
      <w:hyperlink r:id="rId20" w:anchor="1">
        <w:r>
          <w:rPr>
            <w:i/>
            <w:color w:val="000000"/>
          </w:rPr>
          <w:t>700</w:t>
        </w:r>
      </w:hyperlink>
      <w:r>
        <w:rPr>
          <w:i/>
          <w:color w:val="000000"/>
        </w:rPr>
        <w:t> y </w:t>
      </w:r>
      <w:hyperlink r:id="rId21" w:anchor="1">
        <w:r>
          <w:rPr>
            <w:i/>
            <w:color w:val="000000"/>
          </w:rPr>
          <w:t>124</w:t>
        </w:r>
      </w:hyperlink>
      <w:r>
        <w:rPr>
          <w:i/>
          <w:color w:val="000000"/>
        </w:rPr>
        <w:t> de 1997; </w:t>
      </w:r>
      <w:hyperlink r:id="rId22" w:anchor="1">
        <w:r>
          <w:rPr>
            <w:i/>
            <w:color w:val="000000"/>
          </w:rPr>
          <w:t>841</w:t>
        </w:r>
      </w:hyperlink>
      <w:r>
        <w:rPr>
          <w:i/>
          <w:color w:val="000000"/>
        </w:rPr>
        <w:t> , </w:t>
      </w:r>
      <w:hyperlink r:id="rId23" w:anchor="1">
        <w:r>
          <w:rPr>
            <w:i/>
            <w:color w:val="000000"/>
          </w:rPr>
          <w:t>1514</w:t>
        </w:r>
      </w:hyperlink>
      <w:r>
        <w:rPr>
          <w:i/>
          <w:color w:val="000000"/>
        </w:rPr>
        <w:t> y </w:t>
      </w:r>
      <w:hyperlink r:id="rId24" w:anchor="1">
        <w:r>
          <w:rPr>
            <w:i/>
            <w:color w:val="000000"/>
          </w:rPr>
          <w:t>2201</w:t>
        </w:r>
      </w:hyperlink>
      <w:r>
        <w:rPr>
          <w:i/>
          <w:color w:val="000000"/>
        </w:rPr>
        <w:t> de 1998; </w:t>
      </w:r>
      <w:hyperlink r:id="rId25" w:anchor="1">
        <w:r>
          <w:rPr>
            <w:i/>
            <w:color w:val="000000"/>
          </w:rPr>
          <w:t>558</w:t>
        </w:r>
      </w:hyperlink>
      <w:r>
        <w:rPr>
          <w:i/>
          <w:color w:val="000000"/>
        </w:rPr>
        <w:t> , </w:t>
      </w:r>
      <w:hyperlink r:id="rId26" w:anchor="1">
        <w:r>
          <w:rPr>
            <w:i/>
            <w:color w:val="000000"/>
          </w:rPr>
          <w:t>1345</w:t>
        </w:r>
      </w:hyperlink>
      <w:r>
        <w:rPr>
          <w:i/>
          <w:color w:val="000000"/>
        </w:rPr>
        <w:t> , </w:t>
      </w:r>
      <w:hyperlink r:id="rId27" w:anchor="1">
        <w:r>
          <w:rPr>
            <w:i/>
            <w:color w:val="000000"/>
          </w:rPr>
          <w:t>1737</w:t>
        </w:r>
      </w:hyperlink>
      <w:r>
        <w:rPr>
          <w:i/>
          <w:color w:val="000000"/>
        </w:rPr>
        <w:t> y </w:t>
      </w:r>
      <w:hyperlink r:id="rId28" w:anchor="1">
        <w:r>
          <w:rPr>
            <w:i/>
            <w:color w:val="000000"/>
          </w:rPr>
          <w:t>2577</w:t>
        </w:r>
      </w:hyperlink>
      <w:r>
        <w:rPr>
          <w:i/>
          <w:color w:val="000000"/>
        </w:rPr>
        <w:t> de 1999; </w:t>
      </w:r>
      <w:hyperlink r:id="rId29" w:anchor="1">
        <w:r>
          <w:rPr>
            <w:i/>
            <w:color w:val="000000"/>
          </w:rPr>
          <w:t>531</w:t>
        </w:r>
      </w:hyperlink>
      <w:r>
        <w:rPr>
          <w:i/>
          <w:color w:val="000000"/>
        </w:rPr>
        <w:t> de 2000; </w:t>
      </w:r>
      <w:hyperlink r:id="rId30" w:anchor="1">
        <w:r>
          <w:rPr>
            <w:i/>
            <w:color w:val="000000"/>
          </w:rPr>
          <w:t>333</w:t>
        </w:r>
      </w:hyperlink>
      <w:r>
        <w:rPr>
          <w:i/>
          <w:color w:val="000000"/>
        </w:rPr>
        <w:t> y</w:t>
      </w:r>
      <w:hyperlink r:id="rId31" w:anchor="1">
        <w:r>
          <w:rPr>
            <w:i/>
            <w:color w:val="000000"/>
          </w:rPr>
          <w:t> 406</w:t>
        </w:r>
      </w:hyperlink>
      <w:r>
        <w:rPr>
          <w:i/>
          <w:color w:val="000000"/>
        </w:rPr>
        <w:t> de 2001; </w:t>
      </w:r>
      <w:hyperlink r:id="rId32" w:anchor="0">
        <w:r>
          <w:rPr>
            <w:i/>
            <w:color w:val="000000"/>
          </w:rPr>
          <w:t>4400</w:t>
        </w:r>
      </w:hyperlink>
      <w:r>
        <w:rPr>
          <w:i/>
          <w:color w:val="000000"/>
        </w:rPr>
        <w:t> de 2004, </w:t>
      </w:r>
      <w:hyperlink r:id="rId33" w:anchor="0">
        <w:r>
          <w:rPr>
            <w:i/>
            <w:color w:val="000000"/>
          </w:rPr>
          <w:t>1070</w:t>
        </w:r>
      </w:hyperlink>
      <w:r>
        <w:rPr>
          <w:i/>
          <w:color w:val="000000"/>
        </w:rPr>
        <w:t>, </w:t>
      </w:r>
      <w:hyperlink r:id="rId34" w:anchor="0">
        <w:r>
          <w:rPr>
            <w:i/>
            <w:color w:val="000000"/>
          </w:rPr>
          <w:t>3026</w:t>
        </w:r>
      </w:hyperlink>
      <w:r>
        <w:rPr>
          <w:i/>
          <w:color w:val="000000"/>
        </w:rPr>
        <w:t>, </w:t>
      </w:r>
      <w:hyperlink r:id="rId35" w:anchor="0">
        <w:r>
          <w:rPr>
            <w:i/>
            <w:color w:val="000000"/>
          </w:rPr>
          <w:t>3028</w:t>
        </w:r>
      </w:hyperlink>
      <w:r>
        <w:rPr>
          <w:i/>
          <w:color w:val="000000"/>
        </w:rPr>
        <w:t> y </w:t>
      </w:r>
      <w:hyperlink r:id="rId36" w:anchor="0">
        <w:r>
          <w:rPr>
            <w:i/>
            <w:color w:val="000000"/>
          </w:rPr>
          <w:t>3032</w:t>
        </w:r>
      </w:hyperlink>
      <w:r>
        <w:rPr>
          <w:i/>
          <w:color w:val="000000"/>
        </w:rPr>
        <w:t> de 2013, </w:t>
      </w:r>
      <w:hyperlink r:id="rId37" w:anchor="0">
        <w:r>
          <w:rPr>
            <w:i/>
            <w:color w:val="000000"/>
          </w:rPr>
          <w:t>2193</w:t>
        </w:r>
      </w:hyperlink>
      <w:r>
        <w:rPr>
          <w:i/>
          <w:color w:val="000000"/>
        </w:rPr>
        <w:t> de 2013, </w:t>
      </w:r>
      <w:hyperlink r:id="rId38" w:anchor="0">
        <w:r>
          <w:rPr>
            <w:i/>
            <w:color w:val="000000"/>
          </w:rPr>
          <w:t>1966</w:t>
        </w:r>
      </w:hyperlink>
      <w:r>
        <w:rPr>
          <w:i/>
          <w:color w:val="000000"/>
        </w:rPr>
        <w:t xml:space="preserve"> de 2014. </w:t>
      </w:r>
      <w:r>
        <w:rPr>
          <w:i/>
          <w:color w:val="000000"/>
          <w:highlight w:val="white"/>
        </w:rPr>
        <w:t xml:space="preserve">Por el cual se expide el Estatuto Tributario de los impuestos administrados por la Dirección General de Impuesto Nacionales. </w:t>
      </w:r>
      <w:r>
        <w:rPr>
          <w:color w:val="000000"/>
          <w:highlight w:val="white"/>
        </w:rPr>
        <w:t xml:space="preserve">Recuperado   el 10 de marzo de: </w:t>
      </w:r>
      <w:hyperlink r:id="rId39">
        <w:r>
          <w:rPr>
            <w:color w:val="000000"/>
            <w:highlight w:val="white"/>
          </w:rPr>
          <w:t>http://www.alcaldiabogota.gov.co/sisjur/normas/Norma1.jsp?i=6533</w:t>
        </w:r>
      </w:hyperlink>
    </w:p>
    <w:p w:rsidR="00285051" w:rsidRDefault="00285051" w:rsidP="00285051">
      <w:pPr>
        <w:pBdr>
          <w:top w:val="nil"/>
          <w:left w:val="nil"/>
          <w:bottom w:val="nil"/>
          <w:right w:val="nil"/>
          <w:between w:val="nil"/>
        </w:pBdr>
        <w:shd w:val="clear" w:color="auto" w:fill="FFFFFF"/>
        <w:spacing w:after="150"/>
        <w:ind w:left="708"/>
        <w:rPr>
          <w:i/>
          <w:color w:val="000000"/>
        </w:rPr>
      </w:pPr>
    </w:p>
    <w:p w:rsidR="00285051" w:rsidRDefault="00285051" w:rsidP="00285051">
      <w:pPr>
        <w:pBdr>
          <w:top w:val="nil"/>
          <w:left w:val="nil"/>
          <w:bottom w:val="nil"/>
          <w:right w:val="nil"/>
          <w:between w:val="nil"/>
        </w:pBdr>
        <w:shd w:val="clear" w:color="auto" w:fill="FFFFFF"/>
        <w:spacing w:after="150"/>
        <w:rPr>
          <w:i/>
          <w:color w:val="000000"/>
        </w:rPr>
      </w:pPr>
      <w:r>
        <w:rPr>
          <w:color w:val="000000"/>
          <w:highlight w:val="white"/>
        </w:rPr>
        <w:t xml:space="preserve">Presidencia de la </w:t>
      </w:r>
      <w:r>
        <w:rPr>
          <w:highlight w:val="white"/>
        </w:rPr>
        <w:t>República</w:t>
      </w:r>
      <w:r>
        <w:rPr>
          <w:color w:val="000000"/>
          <w:highlight w:val="white"/>
        </w:rPr>
        <w:t xml:space="preserve"> (1971) Decreto 410 de 1971, por el cual se expide el Código de </w:t>
      </w:r>
    </w:p>
    <w:p w:rsidR="00285051" w:rsidRDefault="00285051" w:rsidP="00285051">
      <w:pPr>
        <w:pBdr>
          <w:top w:val="nil"/>
          <w:left w:val="nil"/>
          <w:bottom w:val="nil"/>
          <w:right w:val="nil"/>
          <w:between w:val="nil"/>
        </w:pBdr>
        <w:shd w:val="clear" w:color="auto" w:fill="FFFFFF"/>
        <w:spacing w:after="150"/>
        <w:ind w:left="708"/>
        <w:rPr>
          <w:color w:val="000000"/>
          <w:highlight w:val="white"/>
        </w:rPr>
      </w:pPr>
      <w:r>
        <w:rPr>
          <w:color w:val="000000"/>
          <w:highlight w:val="white"/>
        </w:rPr>
        <w:t xml:space="preserve">Comercio. Recuperado el 10 de mayo de: </w:t>
      </w:r>
      <w:hyperlink r:id="rId40">
        <w:r>
          <w:rPr>
            <w:color w:val="000000"/>
            <w:highlight w:val="white"/>
          </w:rPr>
          <w:t>http://www.alcaldiabogota.gov.co/sisjur/normas/Norma1.jsp?i=41102</w:t>
        </w:r>
      </w:hyperlink>
    </w:p>
    <w:p w:rsidR="00285051" w:rsidRDefault="00285051" w:rsidP="00285051">
      <w:pPr>
        <w:pBdr>
          <w:top w:val="nil"/>
          <w:left w:val="nil"/>
          <w:bottom w:val="nil"/>
          <w:right w:val="nil"/>
          <w:between w:val="nil"/>
        </w:pBdr>
        <w:shd w:val="clear" w:color="auto" w:fill="FFFFFF"/>
        <w:spacing w:after="150"/>
        <w:ind w:left="708"/>
        <w:rPr>
          <w:color w:val="000000"/>
          <w:highlight w:val="white"/>
        </w:rPr>
      </w:pPr>
    </w:p>
    <w:p w:rsidR="00285051" w:rsidRDefault="00285051" w:rsidP="00285051">
      <w:pPr>
        <w:pBdr>
          <w:top w:val="nil"/>
          <w:left w:val="nil"/>
          <w:bottom w:val="nil"/>
          <w:right w:val="nil"/>
          <w:between w:val="nil"/>
        </w:pBdr>
        <w:shd w:val="clear" w:color="auto" w:fill="FFFFFF"/>
        <w:spacing w:after="150"/>
        <w:rPr>
          <w:color w:val="000000"/>
          <w:highlight w:val="white"/>
        </w:rPr>
      </w:pPr>
      <w:r>
        <w:rPr>
          <w:color w:val="000000"/>
          <w:highlight w:val="white"/>
        </w:rPr>
        <w:t xml:space="preserve">Sinisterra V, G (2010) </w:t>
      </w:r>
      <w:r>
        <w:rPr>
          <w:i/>
          <w:color w:val="000000"/>
          <w:highlight w:val="white"/>
        </w:rPr>
        <w:t>Contabilidad de costos</w:t>
      </w:r>
      <w:r>
        <w:rPr>
          <w:color w:val="000000"/>
          <w:highlight w:val="white"/>
        </w:rPr>
        <w:t xml:space="preserve">, primera edición. Editorial Eco Ediciones, </w:t>
      </w:r>
      <w:r>
        <w:rPr>
          <w:highlight w:val="white"/>
        </w:rPr>
        <w:t>Bogotá</w:t>
      </w:r>
      <w:r>
        <w:rPr>
          <w:color w:val="000000"/>
          <w:highlight w:val="white"/>
        </w:rPr>
        <w:t xml:space="preserve">  DC septiembre 2010.</w:t>
      </w:r>
    </w:p>
    <w:p w:rsidR="00453622" w:rsidRDefault="00453622">
      <w:pPr>
        <w:pBdr>
          <w:top w:val="nil"/>
          <w:left w:val="nil"/>
          <w:bottom w:val="nil"/>
          <w:right w:val="nil"/>
          <w:between w:val="nil"/>
        </w:pBdr>
        <w:tabs>
          <w:tab w:val="left" w:pos="5907"/>
        </w:tabs>
        <w:spacing w:line="360" w:lineRule="auto"/>
        <w:jc w:val="both"/>
        <w:rPr>
          <w:rFonts w:ascii="Arial" w:eastAsia="Arial" w:hAnsi="Arial" w:cs="Arial"/>
          <w:color w:val="000000"/>
        </w:rPr>
      </w:pPr>
    </w:p>
    <w:p w:rsidR="002820E8" w:rsidRDefault="002820E8">
      <w:pPr>
        <w:pBdr>
          <w:top w:val="nil"/>
          <w:left w:val="nil"/>
          <w:bottom w:val="nil"/>
          <w:right w:val="nil"/>
          <w:between w:val="nil"/>
        </w:pBdr>
        <w:tabs>
          <w:tab w:val="left" w:pos="5907"/>
        </w:tabs>
        <w:spacing w:line="360" w:lineRule="auto"/>
        <w:jc w:val="both"/>
        <w:rPr>
          <w:rFonts w:ascii="Arial" w:eastAsia="Arial" w:hAnsi="Arial" w:cs="Arial"/>
          <w:color w:val="000000"/>
        </w:rPr>
      </w:pPr>
      <w:bookmarkStart w:id="1" w:name="_GoBack"/>
      <w:bookmarkEnd w:id="1"/>
    </w:p>
    <w:p w:rsidR="00453622" w:rsidRDefault="009E2E41" w:rsidP="008E45F8">
      <w:pPr>
        <w:tabs>
          <w:tab w:val="left" w:pos="1044"/>
          <w:tab w:val="left" w:pos="5907"/>
        </w:tabs>
        <w:spacing w:line="360" w:lineRule="auto"/>
        <w:jc w:val="both"/>
        <w:rPr>
          <w:b/>
        </w:rPr>
      </w:pPr>
      <w:r>
        <w:rPr>
          <w:b/>
        </w:rPr>
        <w:t>Contenidos</w:t>
      </w:r>
    </w:p>
    <w:p w:rsidR="008E45F8" w:rsidRDefault="008E45F8" w:rsidP="008E45F8">
      <w:pPr>
        <w:widowControl w:val="0"/>
        <w:pBdr>
          <w:top w:val="nil"/>
          <w:left w:val="nil"/>
          <w:bottom w:val="nil"/>
          <w:right w:val="nil"/>
          <w:between w:val="nil"/>
        </w:pBdr>
        <w:spacing w:line="360" w:lineRule="auto"/>
        <w:jc w:val="both"/>
        <w:rPr>
          <w:color w:val="000000"/>
        </w:rPr>
      </w:pPr>
      <w:r>
        <w:rPr>
          <w:color w:val="000000"/>
        </w:rPr>
        <w:t>En un primer capítulo se presenta una narración de la compañía donde se realizó la práctica así como la evaluación personal que el estudiante considera como pertinente para fortalecer mediante un análisis FODA, seguido de el plan de trabajo aplicado  al área contable, que permitan llevar a la práctica parte de la teoría que se ve durante la carrera de Contaduría Pública, en el segundo capítulo se dan a conocer los resultados obtenidos mediante el trabajo de campo, haciendo una evaluación de las actividades en comparación con el plan de trabajo, y la teoría obtenida en la Corporación Universitaria Minuto de Dios (UNIMINUTO)  aplicada en la práctica.</w:t>
      </w:r>
    </w:p>
    <w:p w:rsidR="008E45F8" w:rsidRDefault="008E45F8" w:rsidP="008E45F8">
      <w:pPr>
        <w:widowControl w:val="0"/>
        <w:pBdr>
          <w:top w:val="nil"/>
          <w:left w:val="nil"/>
          <w:bottom w:val="nil"/>
          <w:right w:val="nil"/>
          <w:between w:val="nil"/>
        </w:pBdr>
        <w:spacing w:line="360" w:lineRule="auto"/>
        <w:jc w:val="both"/>
        <w:rPr>
          <w:color w:val="000000"/>
        </w:rPr>
      </w:pPr>
      <w:r>
        <w:rPr>
          <w:color w:val="000000"/>
        </w:rPr>
        <w:t xml:space="preserve">         En el tercer capítulo presenta las conclusiones sobre las experiencias que se </w:t>
      </w:r>
      <w:r>
        <w:rPr>
          <w:color w:val="000000"/>
        </w:rPr>
        <w:lastRenderedPageBreak/>
        <w:t xml:space="preserve">obtuvo además de una evaluación sobre los aportes que UNIMINUTO realiza para que el estudiante pueda llevar </w:t>
      </w:r>
      <w:r>
        <w:t>a cabo</w:t>
      </w:r>
      <w:r>
        <w:rPr>
          <w:color w:val="000000"/>
        </w:rPr>
        <w:t xml:space="preserve"> la práctica profesional en el lugar de trabajo y así cumplir satisfactoriamente el proceso </w:t>
      </w:r>
      <w:r>
        <w:t>práctico</w:t>
      </w:r>
      <w:r>
        <w:rPr>
          <w:color w:val="000000"/>
        </w:rPr>
        <w:t xml:space="preserve"> y las expectativas de la empresa, de UNIMINUTO y del mismo estudiante.</w:t>
      </w:r>
    </w:p>
    <w:p w:rsidR="00453622" w:rsidRDefault="00453622">
      <w:pPr>
        <w:tabs>
          <w:tab w:val="left" w:pos="1044"/>
          <w:tab w:val="left" w:pos="5907"/>
        </w:tabs>
        <w:spacing w:line="360" w:lineRule="auto"/>
        <w:jc w:val="both"/>
        <w:rPr>
          <w:b/>
        </w:rPr>
      </w:pPr>
    </w:p>
    <w:p w:rsidR="00453622" w:rsidRDefault="00453622">
      <w:pPr>
        <w:tabs>
          <w:tab w:val="left" w:pos="1044"/>
          <w:tab w:val="left" w:pos="5907"/>
        </w:tabs>
        <w:spacing w:line="360" w:lineRule="auto"/>
        <w:jc w:val="both"/>
      </w:pPr>
    </w:p>
    <w:p w:rsidR="00453622" w:rsidRDefault="009E2E41">
      <w:pPr>
        <w:tabs>
          <w:tab w:val="left" w:pos="1044"/>
          <w:tab w:val="left" w:pos="5907"/>
        </w:tabs>
        <w:spacing w:line="360" w:lineRule="auto"/>
        <w:jc w:val="both"/>
        <w:rPr>
          <w:b/>
        </w:rPr>
      </w:pPr>
      <w:r>
        <w:rPr>
          <w:b/>
        </w:rPr>
        <w:t xml:space="preserve">Metodología </w:t>
      </w:r>
    </w:p>
    <w:p w:rsidR="00152490" w:rsidRPr="00165366" w:rsidRDefault="00165366">
      <w:pPr>
        <w:tabs>
          <w:tab w:val="left" w:pos="1044"/>
          <w:tab w:val="left" w:pos="5907"/>
        </w:tabs>
        <w:spacing w:line="360" w:lineRule="auto"/>
        <w:jc w:val="both"/>
      </w:pPr>
      <w:r w:rsidRPr="00165366">
        <w:t>Aplicación de conocimientos desde lo practico</w:t>
      </w:r>
    </w:p>
    <w:p w:rsidR="00453622" w:rsidRPr="00165366" w:rsidRDefault="00453622">
      <w:pPr>
        <w:spacing w:line="360" w:lineRule="auto"/>
        <w:jc w:val="both"/>
      </w:pPr>
    </w:p>
    <w:p w:rsidR="00453622" w:rsidRDefault="00453622">
      <w:pPr>
        <w:spacing w:line="360" w:lineRule="auto"/>
        <w:jc w:val="both"/>
      </w:pPr>
    </w:p>
    <w:p w:rsidR="00453622" w:rsidRDefault="00453622">
      <w:pPr>
        <w:tabs>
          <w:tab w:val="left" w:pos="1044"/>
          <w:tab w:val="left" w:pos="5907"/>
        </w:tabs>
        <w:spacing w:line="360" w:lineRule="auto"/>
        <w:jc w:val="both"/>
      </w:pPr>
    </w:p>
    <w:p w:rsidR="00453622" w:rsidRDefault="009E2E41">
      <w:pPr>
        <w:tabs>
          <w:tab w:val="left" w:pos="1044"/>
          <w:tab w:val="left" w:pos="5907"/>
        </w:tabs>
        <w:spacing w:line="360" w:lineRule="auto"/>
        <w:jc w:val="both"/>
        <w:rPr>
          <w:b/>
        </w:rPr>
      </w:pPr>
      <w:r>
        <w:rPr>
          <w:b/>
        </w:rPr>
        <w:t xml:space="preserve">Conclusiones </w:t>
      </w:r>
    </w:p>
    <w:p w:rsidR="00453622" w:rsidRDefault="00453622">
      <w:pPr>
        <w:tabs>
          <w:tab w:val="left" w:pos="1044"/>
          <w:tab w:val="left" w:pos="5907"/>
        </w:tabs>
        <w:spacing w:line="360" w:lineRule="auto"/>
        <w:jc w:val="both"/>
        <w:rPr>
          <w:b/>
        </w:rPr>
      </w:pPr>
    </w:p>
    <w:p w:rsidR="008E45F8" w:rsidRDefault="008E45F8" w:rsidP="008E45F8">
      <w:pPr>
        <w:tabs>
          <w:tab w:val="left" w:pos="5907"/>
        </w:tabs>
        <w:spacing w:line="360" w:lineRule="auto"/>
        <w:rPr>
          <w:bCs/>
        </w:rPr>
      </w:pPr>
      <w:r w:rsidRPr="008E45F8">
        <w:rPr>
          <w:bCs/>
        </w:rPr>
        <w:t>En la práctica brinda la oportunidad de romper barreras formadas por la falta de experiencia, lo que hace de esta en una vivencia enriquecedora y gratificante.</w:t>
      </w:r>
    </w:p>
    <w:p w:rsidR="00165366" w:rsidRPr="008E45F8" w:rsidRDefault="00165366" w:rsidP="008E45F8">
      <w:pPr>
        <w:tabs>
          <w:tab w:val="left" w:pos="5907"/>
        </w:tabs>
        <w:spacing w:line="360" w:lineRule="auto"/>
      </w:pPr>
    </w:p>
    <w:p w:rsidR="008E45F8" w:rsidRDefault="008E45F8" w:rsidP="008E45F8">
      <w:pPr>
        <w:tabs>
          <w:tab w:val="left" w:pos="5907"/>
        </w:tabs>
        <w:spacing w:line="360" w:lineRule="auto"/>
        <w:rPr>
          <w:bCs/>
        </w:rPr>
      </w:pPr>
      <w:r w:rsidRPr="008E45F8">
        <w:rPr>
          <w:bCs/>
        </w:rPr>
        <w:t xml:space="preserve">La práctica brindo la oportunidad de mecanizar los programas contables manejados por la empresa </w:t>
      </w:r>
      <w:proofErr w:type="spellStart"/>
      <w:r w:rsidRPr="008E45F8">
        <w:rPr>
          <w:bCs/>
        </w:rPr>
        <w:t>invér</w:t>
      </w:r>
      <w:r w:rsidR="00165366">
        <w:rPr>
          <w:bCs/>
        </w:rPr>
        <w:t>j</w:t>
      </w:r>
      <w:r w:rsidRPr="008E45F8">
        <w:rPr>
          <w:bCs/>
        </w:rPr>
        <w:t>enos</w:t>
      </w:r>
      <w:proofErr w:type="spellEnd"/>
      <w:r w:rsidRPr="008E45F8">
        <w:rPr>
          <w:bCs/>
        </w:rPr>
        <w:t xml:space="preserve"> de acuerdo con el plan de trabajo, aplicando los conocimientos requeridos y complementándolos con los adquiridos en el trabajo de campo.</w:t>
      </w:r>
    </w:p>
    <w:p w:rsidR="00165366" w:rsidRPr="008E45F8" w:rsidRDefault="00165366" w:rsidP="008E45F8">
      <w:pPr>
        <w:tabs>
          <w:tab w:val="left" w:pos="5907"/>
        </w:tabs>
        <w:spacing w:line="360" w:lineRule="auto"/>
      </w:pPr>
    </w:p>
    <w:p w:rsidR="008E45F8" w:rsidRPr="008E45F8" w:rsidRDefault="008E45F8" w:rsidP="008E45F8">
      <w:pPr>
        <w:tabs>
          <w:tab w:val="left" w:pos="5907"/>
        </w:tabs>
        <w:spacing w:line="360" w:lineRule="auto"/>
      </w:pPr>
      <w:r w:rsidRPr="008E45F8">
        <w:rPr>
          <w:bCs/>
        </w:rPr>
        <w:t>Se hace necesario un mayor acompañamiento por parte de la Universidad un mejor desarrollo de la práctica profesional.</w:t>
      </w:r>
    </w:p>
    <w:p w:rsidR="00453622" w:rsidRDefault="00453622">
      <w:pPr>
        <w:tabs>
          <w:tab w:val="left" w:pos="5907"/>
        </w:tabs>
      </w:pPr>
    </w:p>
    <w:p w:rsidR="00453622" w:rsidRDefault="00453622">
      <w:pPr>
        <w:tabs>
          <w:tab w:val="left" w:pos="5907"/>
        </w:tabs>
      </w:pPr>
    </w:p>
    <w:p w:rsidR="00453622" w:rsidRDefault="00453622">
      <w:pPr>
        <w:tabs>
          <w:tab w:val="left" w:pos="5907"/>
        </w:tabs>
      </w:pPr>
    </w:p>
    <w:p w:rsidR="00453622" w:rsidRDefault="00453622">
      <w:pPr>
        <w:tabs>
          <w:tab w:val="left" w:pos="5907"/>
        </w:tabs>
      </w:pPr>
    </w:p>
    <w:p w:rsidR="00453622" w:rsidRDefault="00453622">
      <w:pPr>
        <w:tabs>
          <w:tab w:val="left" w:pos="5907"/>
        </w:tabs>
      </w:pPr>
    </w:p>
    <w:p w:rsidR="00453622" w:rsidRDefault="00453622">
      <w:pPr>
        <w:tabs>
          <w:tab w:val="left" w:pos="5907"/>
        </w:tabs>
      </w:pPr>
    </w:p>
    <w:p w:rsidR="00453622" w:rsidRDefault="00453622">
      <w:pPr>
        <w:tabs>
          <w:tab w:val="left" w:pos="5907"/>
        </w:tabs>
      </w:pPr>
    </w:p>
    <w:p w:rsidR="00453622" w:rsidRDefault="00453622">
      <w:pPr>
        <w:jc w:val="center"/>
        <w:rPr>
          <w:b/>
        </w:rPr>
      </w:pPr>
    </w:p>
    <w:sectPr w:rsidR="0045362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
  <w:rsids>
    <w:rsidRoot w:val="00453622"/>
    <w:rsid w:val="00087C1E"/>
    <w:rsid w:val="00152490"/>
    <w:rsid w:val="00165366"/>
    <w:rsid w:val="002820E8"/>
    <w:rsid w:val="00285051"/>
    <w:rsid w:val="00453622"/>
    <w:rsid w:val="004F0BBF"/>
    <w:rsid w:val="006B1150"/>
    <w:rsid w:val="008954B5"/>
    <w:rsid w:val="008E45F8"/>
    <w:rsid w:val="009E2E41"/>
    <w:rsid w:val="00A462F7"/>
    <w:rsid w:val="00AD5321"/>
    <w:rsid w:val="00E22D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14E8"/>
  <w15:docId w15:val="{7BB6F57E-F2C3-475C-94AF-0B0EF9DC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HTMLconformatoprevio">
    <w:name w:val="HTML Preformatted"/>
    <w:basedOn w:val="Normal"/>
    <w:link w:val="HTMLconformatoprevioCar"/>
    <w:uiPriority w:val="99"/>
    <w:semiHidden/>
    <w:unhideWhenUsed/>
    <w:rsid w:val="00AD5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AD532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07339">
      <w:bodyDiv w:val="1"/>
      <w:marLeft w:val="0"/>
      <w:marRight w:val="0"/>
      <w:marTop w:val="0"/>
      <w:marBottom w:val="0"/>
      <w:divBdr>
        <w:top w:val="none" w:sz="0" w:space="0" w:color="auto"/>
        <w:left w:val="none" w:sz="0" w:space="0" w:color="auto"/>
        <w:bottom w:val="none" w:sz="0" w:space="0" w:color="auto"/>
        <w:right w:val="none" w:sz="0" w:space="0" w:color="auto"/>
      </w:divBdr>
    </w:div>
    <w:div w:id="1715152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alcaldiabogota.gov.co/sisjur/normas/Norma1.jsp?i=187" TargetMode="External"/><Relationship Id="rId18" Type="http://schemas.openxmlformats.org/officeDocument/2006/relationships/hyperlink" Target="http://www.alcaldiabogota.gov.co/sisjur/normas/Norma1.jsp?i=7413" TargetMode="External"/><Relationship Id="rId26" Type="http://schemas.openxmlformats.org/officeDocument/2006/relationships/hyperlink" Target="http://www.alcaldiabogota.gov.co/sisjur/normas/Norma1.jsp?i=7404" TargetMode="External"/><Relationship Id="rId39" Type="http://schemas.openxmlformats.org/officeDocument/2006/relationships/hyperlink" Target="http://www.alcaldiabogota.gov.co/sisjur/normas/Norma1.jsp?i=6533" TargetMode="External"/><Relationship Id="rId3" Type="http://schemas.openxmlformats.org/officeDocument/2006/relationships/webSettings" Target="webSettings.xml"/><Relationship Id="rId21" Type="http://schemas.openxmlformats.org/officeDocument/2006/relationships/hyperlink" Target="http://www.alcaldiabogota.gov.co/sisjur/normas/Norma1.jsp?i=6536" TargetMode="External"/><Relationship Id="rId34" Type="http://schemas.openxmlformats.org/officeDocument/2006/relationships/hyperlink" Target="http://www.alcaldiabogota.gov.co/sisjur/normas/Norma1.jsp?i=56241" TargetMode="External"/><Relationship Id="rId42" Type="http://schemas.openxmlformats.org/officeDocument/2006/relationships/theme" Target="theme/theme1.xml"/><Relationship Id="rId7" Type="http://schemas.openxmlformats.org/officeDocument/2006/relationships/hyperlink" Target="https://sites.google.com/site/studentportfalio/10-coleccion-de-trabajos-individuales-y-en-equipo/10-13-analisis-foda-personal-y-utilizando-estrategias" TargetMode="External"/><Relationship Id="rId12" Type="http://schemas.openxmlformats.org/officeDocument/2006/relationships/hyperlink" Target="http://www.alcaldiabogota.gov.co/sisjur/normas/Norma1.jsp?i=341" TargetMode="External"/><Relationship Id="rId17" Type="http://schemas.openxmlformats.org/officeDocument/2006/relationships/hyperlink" Target="http://www.alcaldiabogota.gov.co/sisjur/normas/Norma1.jsp?i=7456" TargetMode="External"/><Relationship Id="rId25" Type="http://schemas.openxmlformats.org/officeDocument/2006/relationships/hyperlink" Target="http://www.alcaldiabogota.gov.co/sisjur/normas/Norma1.jsp?i=7463" TargetMode="External"/><Relationship Id="rId33" Type="http://schemas.openxmlformats.org/officeDocument/2006/relationships/hyperlink" Target="http://www.alcaldiabogota.gov.co/sisjur/normas/Norma1.jsp?i=53247" TargetMode="External"/><Relationship Id="rId38" Type="http://schemas.openxmlformats.org/officeDocument/2006/relationships/hyperlink" Target="http://www.alcaldiabogota.gov.co/sisjur/normas/Norma1.jsp?i=59638" TargetMode="External"/><Relationship Id="rId2" Type="http://schemas.openxmlformats.org/officeDocument/2006/relationships/settings" Target="settings.xml"/><Relationship Id="rId16" Type="http://schemas.openxmlformats.org/officeDocument/2006/relationships/hyperlink" Target="http://www.alcaldiabogota.gov.co/sisjur/normas/Norma1.jsp?i=7399" TargetMode="External"/><Relationship Id="rId20" Type="http://schemas.openxmlformats.org/officeDocument/2006/relationships/hyperlink" Target="http://www.alcaldiabogota.gov.co/sisjur/normas/Norma1.jsp?i=7462" TargetMode="External"/><Relationship Id="rId29" Type="http://schemas.openxmlformats.org/officeDocument/2006/relationships/hyperlink" Target="http://www.alcaldiabogota.gov.co/sisjur/normas/Norma1.jsp?i=7402"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ineducacion.gov.co/1759/articles-104547_archivo_pdf.pdf" TargetMode="External"/><Relationship Id="rId11" Type="http://schemas.openxmlformats.org/officeDocument/2006/relationships/hyperlink" Target="http://www.alcaldiabogota.gov.co/sisjur/normas/Norma1.jsp?i=7418" TargetMode="External"/><Relationship Id="rId24" Type="http://schemas.openxmlformats.org/officeDocument/2006/relationships/hyperlink" Target="http://www.alcaldiabogota.gov.co/sisjur/normas/Norma1.jsp?i=7407" TargetMode="External"/><Relationship Id="rId32" Type="http://schemas.openxmlformats.org/officeDocument/2006/relationships/hyperlink" Target="http://www.alcaldiabogota.gov.co/sisjur/normas/Norma1.jsp?i=15581" TargetMode="External"/><Relationship Id="rId37" Type="http://schemas.openxmlformats.org/officeDocument/2006/relationships/hyperlink" Target="http://www.alcaldiabogota.gov.co/sisjur/normas/Norma1.jsp?i=54915" TargetMode="External"/><Relationship Id="rId40" Type="http://schemas.openxmlformats.org/officeDocument/2006/relationships/hyperlink" Target="http://www.alcaldiabogota.gov.co/sisjur/normas/Norma1.jsp?i=41102" TargetMode="External"/><Relationship Id="rId5" Type="http://schemas.openxmlformats.org/officeDocument/2006/relationships/hyperlink" Target="http://www.alcaldiabogota.gov.co/sisjur/normas/Norma1.jsp?i=36833" TargetMode="External"/><Relationship Id="rId15" Type="http://schemas.openxmlformats.org/officeDocument/2006/relationships/hyperlink" Target="http://www.alcaldiabogota.gov.co/sisjur/normas/Norma1.jsp?i=7306" TargetMode="External"/><Relationship Id="rId23" Type="http://schemas.openxmlformats.org/officeDocument/2006/relationships/hyperlink" Target="http://www.alcaldiabogota.gov.co/sisjur/normas/Norma1.jsp?i=7405" TargetMode="External"/><Relationship Id="rId28" Type="http://schemas.openxmlformats.org/officeDocument/2006/relationships/hyperlink" Target="http://www.alcaldiabogota.gov.co/sisjur/normas/Norma1.jsp?i=7408" TargetMode="External"/><Relationship Id="rId36" Type="http://schemas.openxmlformats.org/officeDocument/2006/relationships/hyperlink" Target="http://www.alcaldiabogota.gov.co/sisjur/normas/Norma1.jsp?i=56251" TargetMode="External"/><Relationship Id="rId10" Type="http://schemas.openxmlformats.org/officeDocument/2006/relationships/hyperlink" Target="http://www.gydconsulting.com/userfiles/Ley-1819-29-dic-16-Reforma-Tributaria-Diario-Oficial-50101.pdf" TargetMode="External"/><Relationship Id="rId19" Type="http://schemas.openxmlformats.org/officeDocument/2006/relationships/hyperlink" Target="http://www.alcaldiabogota.gov.co/sisjur/normas/Norma1.jsp?i=7400" TargetMode="External"/><Relationship Id="rId31" Type="http://schemas.openxmlformats.org/officeDocument/2006/relationships/hyperlink" Target="http://www.alcaldiabogota.gov.co/sisjur/normas/Norma1.jsp?i=7466" TargetMode="External"/><Relationship Id="rId4" Type="http://schemas.openxmlformats.org/officeDocument/2006/relationships/image" Target="media/image1.jpg"/><Relationship Id="rId9" Type="http://schemas.openxmlformats.org/officeDocument/2006/relationships/hyperlink" Target="about:blank" TargetMode="External"/><Relationship Id="rId14" Type="http://schemas.openxmlformats.org/officeDocument/2006/relationships/hyperlink" Target="http://www.alcaldiabogota.gov.co/sisjur/normas/Norma1.jsp?i=11172" TargetMode="External"/><Relationship Id="rId22" Type="http://schemas.openxmlformats.org/officeDocument/2006/relationships/hyperlink" Target="http://www.alcaldiabogota.gov.co/sisjur/normas/Norma1.jsp?i=7410" TargetMode="External"/><Relationship Id="rId27" Type="http://schemas.openxmlformats.org/officeDocument/2006/relationships/hyperlink" Target="http://www.alcaldiabogota.gov.co/sisjur/normas/Norma1.jsp?i=7406" TargetMode="External"/><Relationship Id="rId30" Type="http://schemas.openxmlformats.org/officeDocument/2006/relationships/hyperlink" Target="http://www.alcaldiabogota.gov.co/sisjur/normas/Norma1.jsp?i=6663" TargetMode="External"/><Relationship Id="rId35" Type="http://schemas.openxmlformats.org/officeDocument/2006/relationships/hyperlink" Target="http://www.alcaldiabogota.gov.co/sisjur/normas/Norma1.jsp?i=56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7465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alexander cuadrado rodriguez</dc:creator>
  <cp:lastModifiedBy>Edward Cuadrado</cp:lastModifiedBy>
  <cp:revision>3</cp:revision>
  <dcterms:created xsi:type="dcterms:W3CDTF">2018-08-10T18:35:00Z</dcterms:created>
  <dcterms:modified xsi:type="dcterms:W3CDTF">2018-08-10T18:36:00Z</dcterms:modified>
</cp:coreProperties>
</file>