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A0" w:rsidRDefault="00463A36" w:rsidP="00A32A88">
      <w:pPr>
        <w:rPr>
          <w:b/>
        </w:rPr>
      </w:pPr>
      <w:r>
        <w:rPr>
          <w:b/>
          <w:noProof/>
          <w:lang w:val="es-CO" w:eastAsia="es-CO"/>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-1028700</wp:posOffset>
            </wp:positionV>
            <wp:extent cx="7924800" cy="1938020"/>
            <wp:effectExtent l="19050" t="0" r="0" b="0"/>
            <wp:wrapThrough wrapText="bothSides">
              <wp:wrapPolygon edited="0">
                <wp:start x="-52" y="0"/>
                <wp:lineTo x="-52" y="21444"/>
                <wp:lineTo x="21600" y="21444"/>
                <wp:lineTo x="21600" y="0"/>
                <wp:lineTo x="-52" y="0"/>
              </wp:wrapPolygon>
            </wp:wrapThrough>
            <wp:docPr id="2" name="Imagen 2" descr="Plantil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s1"/>
                    <pic:cNvPicPr>
                      <a:picLocks noChangeAspect="1" noChangeArrowheads="1"/>
                    </pic:cNvPicPr>
                  </pic:nvPicPr>
                  <pic:blipFill>
                    <a:blip r:embed="rId5"/>
                    <a:srcRect/>
                    <a:stretch>
                      <a:fillRect/>
                    </a:stretch>
                  </pic:blipFill>
                  <pic:spPr bwMode="auto">
                    <a:xfrm>
                      <a:off x="0" y="0"/>
                      <a:ext cx="7924800" cy="1938020"/>
                    </a:xfrm>
                    <a:prstGeom prst="rect">
                      <a:avLst/>
                    </a:prstGeom>
                    <a:noFill/>
                    <a:ln w="9525">
                      <a:noFill/>
                      <a:miter lim="800000"/>
                      <a:headEnd/>
                      <a:tailEnd/>
                    </a:ln>
                  </pic:spPr>
                </pic:pic>
              </a:graphicData>
            </a:graphic>
          </wp:anchor>
        </w:drawing>
      </w:r>
    </w:p>
    <w:p w:rsidR="00F60CA0" w:rsidRDefault="00F60CA0" w:rsidP="00F60CA0">
      <w:pPr>
        <w:jc w:val="center"/>
        <w:rPr>
          <w:b/>
        </w:rPr>
      </w:pPr>
    </w:p>
    <w:p w:rsidR="00F60CA0" w:rsidRDefault="00F60CA0" w:rsidP="00F60CA0">
      <w:pPr>
        <w:jc w:val="center"/>
        <w:rPr>
          <w:b/>
        </w:rPr>
      </w:pPr>
      <w:bookmarkStart w:id="0" w:name="_GoBack"/>
      <w:bookmarkEnd w:id="0"/>
      <w:r>
        <w:rPr>
          <w:b/>
        </w:rPr>
        <w:t>TRABAJO DE GRADO</w:t>
      </w:r>
    </w:p>
    <w:p w:rsidR="00F60CA0" w:rsidRDefault="00F60CA0" w:rsidP="00F60CA0">
      <w:pPr>
        <w:jc w:val="center"/>
        <w:rPr>
          <w:b/>
        </w:rPr>
      </w:pPr>
    </w:p>
    <w:p w:rsidR="00CC6350" w:rsidRDefault="00F60CA0" w:rsidP="00F60CA0">
      <w:pPr>
        <w:jc w:val="center"/>
        <w:rPr>
          <w:b/>
        </w:rPr>
      </w:pPr>
      <w:r w:rsidRPr="007958AE">
        <w:rPr>
          <w:b/>
        </w:rPr>
        <w:t>MODELO DE RAE</w:t>
      </w:r>
    </w:p>
    <w:p w:rsidR="00F60CA0" w:rsidRDefault="00F60CA0" w:rsidP="00F60CA0">
      <w:pPr>
        <w:jc w:val="center"/>
        <w:rPr>
          <w:b/>
        </w:rPr>
      </w:pPr>
    </w:p>
    <w:p w:rsidR="00F60CA0" w:rsidRDefault="00F60CA0" w:rsidP="00F60CA0">
      <w:pPr>
        <w:jc w:val="center"/>
        <w:rPr>
          <w:b/>
        </w:rPr>
      </w:pPr>
    </w:p>
    <w:p w:rsidR="00F60CA0" w:rsidRDefault="00F60CA0" w:rsidP="00F60CA0">
      <w:pPr>
        <w:jc w:val="center"/>
        <w:rPr>
          <w:b/>
        </w:rPr>
      </w:pPr>
    </w:p>
    <w:p w:rsidR="00F60CA0" w:rsidRPr="00024A1B" w:rsidRDefault="00F60CA0" w:rsidP="00986D48">
      <w:pPr>
        <w:tabs>
          <w:tab w:val="left" w:pos="5907"/>
        </w:tabs>
        <w:spacing w:line="480" w:lineRule="auto"/>
        <w:contextualSpacing/>
        <w:rPr>
          <w:b/>
        </w:rPr>
      </w:pPr>
      <w:r w:rsidRPr="00024A1B">
        <w:rPr>
          <w:b/>
        </w:rPr>
        <w:t>Título</w:t>
      </w:r>
    </w:p>
    <w:p w:rsidR="00F60CA0" w:rsidRPr="00024A1B" w:rsidRDefault="007958AE" w:rsidP="00986D48">
      <w:pPr>
        <w:tabs>
          <w:tab w:val="left" w:pos="5907"/>
        </w:tabs>
        <w:autoSpaceDE w:val="0"/>
        <w:autoSpaceDN w:val="0"/>
        <w:adjustRightInd w:val="0"/>
        <w:spacing w:line="480" w:lineRule="auto"/>
        <w:contextualSpacing/>
        <w:rPr>
          <w:b/>
          <w:bCs/>
          <w:color w:val="000000"/>
        </w:rPr>
      </w:pPr>
      <w:r>
        <w:rPr>
          <w:color w:val="000000"/>
        </w:rPr>
        <w:t>P</w:t>
      </w:r>
      <w:r w:rsidRPr="007958AE">
        <w:rPr>
          <w:color w:val="000000"/>
        </w:rPr>
        <w:t>arámetros que debe tener un cliente natural o jurídico para aplicar los impuestos distritales de la ciudad de Bogotá generados por ventas de productos químicos en la empresa BRACHEM SAS</w:t>
      </w:r>
      <w:r>
        <w:rPr>
          <w:color w:val="000000"/>
        </w:rPr>
        <w:t>.</w:t>
      </w:r>
    </w:p>
    <w:p w:rsidR="00F60CA0" w:rsidRPr="00024A1B" w:rsidRDefault="00F60CA0" w:rsidP="00986D48">
      <w:pPr>
        <w:tabs>
          <w:tab w:val="left" w:pos="5907"/>
        </w:tabs>
        <w:autoSpaceDE w:val="0"/>
        <w:autoSpaceDN w:val="0"/>
        <w:adjustRightInd w:val="0"/>
        <w:spacing w:line="480" w:lineRule="auto"/>
        <w:contextualSpacing/>
        <w:rPr>
          <w:b/>
          <w:bCs/>
          <w:color w:val="000000"/>
        </w:rPr>
      </w:pPr>
    </w:p>
    <w:p w:rsidR="00F60CA0" w:rsidRPr="00024A1B" w:rsidRDefault="007958AE" w:rsidP="00986D48">
      <w:pPr>
        <w:tabs>
          <w:tab w:val="left" w:pos="5907"/>
        </w:tabs>
        <w:autoSpaceDE w:val="0"/>
        <w:autoSpaceDN w:val="0"/>
        <w:adjustRightInd w:val="0"/>
        <w:spacing w:line="480" w:lineRule="auto"/>
        <w:contextualSpacing/>
        <w:rPr>
          <w:b/>
          <w:bCs/>
          <w:color w:val="000000"/>
          <w:lang w:val="en-US"/>
        </w:rPr>
      </w:pPr>
      <w:r w:rsidRPr="007958AE">
        <w:rPr>
          <w:color w:val="222222"/>
          <w:lang w:val="en-US"/>
        </w:rPr>
        <w:t>Parameters that a natural or legal client must have to apply the district taxes of the city of Bogotá generated by sales of chemical products in the company BRACHEM SAS.</w:t>
      </w:r>
    </w:p>
    <w:p w:rsidR="00F60CA0" w:rsidRPr="00024A1B" w:rsidRDefault="00F60CA0" w:rsidP="00986D48">
      <w:pPr>
        <w:tabs>
          <w:tab w:val="left" w:pos="5907"/>
        </w:tabs>
        <w:autoSpaceDE w:val="0"/>
        <w:autoSpaceDN w:val="0"/>
        <w:adjustRightInd w:val="0"/>
        <w:spacing w:line="480" w:lineRule="auto"/>
        <w:contextualSpacing/>
        <w:rPr>
          <w:b/>
          <w:bCs/>
          <w:color w:val="000000"/>
          <w:lang w:val="en-US"/>
        </w:rPr>
      </w:pPr>
    </w:p>
    <w:p w:rsidR="00F60CA0" w:rsidRPr="00F60CA0" w:rsidRDefault="00F60CA0" w:rsidP="00986D48">
      <w:pPr>
        <w:tabs>
          <w:tab w:val="left" w:pos="5907"/>
        </w:tabs>
        <w:autoSpaceDE w:val="0"/>
        <w:autoSpaceDN w:val="0"/>
        <w:adjustRightInd w:val="0"/>
        <w:spacing w:line="480" w:lineRule="auto"/>
        <w:contextualSpacing/>
        <w:rPr>
          <w:b/>
          <w:bCs/>
          <w:color w:val="000000"/>
        </w:rPr>
      </w:pPr>
      <w:r w:rsidRPr="00F60CA0">
        <w:rPr>
          <w:b/>
          <w:bCs/>
          <w:color w:val="000000"/>
        </w:rPr>
        <w:t>Autor</w:t>
      </w:r>
    </w:p>
    <w:p w:rsidR="00F60CA0" w:rsidRPr="00024A1B" w:rsidRDefault="007958AE" w:rsidP="00986D48">
      <w:pPr>
        <w:autoSpaceDE w:val="0"/>
        <w:autoSpaceDN w:val="0"/>
        <w:adjustRightInd w:val="0"/>
        <w:spacing w:line="480" w:lineRule="auto"/>
        <w:contextualSpacing/>
        <w:rPr>
          <w:color w:val="000000"/>
        </w:rPr>
      </w:pPr>
      <w:r>
        <w:rPr>
          <w:color w:val="000000"/>
        </w:rPr>
        <w:t>RUIZ SUAREZ, Maritza.</w:t>
      </w:r>
    </w:p>
    <w:p w:rsidR="00F60CA0" w:rsidRPr="00F60CA0" w:rsidRDefault="00F60CA0" w:rsidP="00986D48">
      <w:pPr>
        <w:tabs>
          <w:tab w:val="left" w:pos="5907"/>
        </w:tabs>
        <w:autoSpaceDE w:val="0"/>
        <w:autoSpaceDN w:val="0"/>
        <w:adjustRightInd w:val="0"/>
        <w:spacing w:line="480" w:lineRule="auto"/>
        <w:contextualSpacing/>
        <w:rPr>
          <w:b/>
          <w:bCs/>
          <w:color w:val="000000"/>
        </w:rPr>
      </w:pPr>
    </w:p>
    <w:p w:rsidR="00F60CA0" w:rsidRPr="00024A1B" w:rsidRDefault="00F60CA0" w:rsidP="00986D48">
      <w:pPr>
        <w:tabs>
          <w:tab w:val="left" w:pos="5907"/>
        </w:tabs>
        <w:autoSpaceDE w:val="0"/>
        <w:autoSpaceDN w:val="0"/>
        <w:adjustRightInd w:val="0"/>
        <w:spacing w:line="480" w:lineRule="auto"/>
        <w:contextualSpacing/>
        <w:rPr>
          <w:b/>
          <w:bCs/>
          <w:color w:val="000000"/>
        </w:rPr>
      </w:pPr>
      <w:r w:rsidRPr="00024A1B">
        <w:rPr>
          <w:b/>
          <w:bCs/>
          <w:color w:val="000000"/>
        </w:rPr>
        <w:t>Publicación</w:t>
      </w:r>
    </w:p>
    <w:p w:rsidR="00F60CA0" w:rsidRPr="00024A1B" w:rsidRDefault="00F60CA0" w:rsidP="00986D48">
      <w:pPr>
        <w:tabs>
          <w:tab w:val="left" w:pos="5907"/>
        </w:tabs>
        <w:autoSpaceDE w:val="0"/>
        <w:autoSpaceDN w:val="0"/>
        <w:adjustRightInd w:val="0"/>
        <w:spacing w:line="480" w:lineRule="auto"/>
        <w:contextualSpacing/>
        <w:rPr>
          <w:bCs/>
          <w:color w:val="000000"/>
        </w:rPr>
      </w:pPr>
      <w:r w:rsidRPr="00024A1B">
        <w:rPr>
          <w:bCs/>
          <w:color w:val="000000"/>
        </w:rPr>
        <w:t>Bogotá, Corporación Universitaria Minuto de Dios- UNIMINUTO U.V.D-, 201</w:t>
      </w:r>
      <w:r w:rsidR="007958AE">
        <w:rPr>
          <w:bCs/>
          <w:color w:val="000000"/>
        </w:rPr>
        <w:t>8</w:t>
      </w:r>
      <w:r w:rsidRPr="00024A1B">
        <w:rPr>
          <w:bCs/>
          <w:color w:val="000000"/>
        </w:rPr>
        <w:t xml:space="preserve">. </w:t>
      </w:r>
      <w:r w:rsidR="007958AE">
        <w:rPr>
          <w:bCs/>
          <w:color w:val="000000"/>
        </w:rPr>
        <w:t>5</w:t>
      </w:r>
      <w:r w:rsidRPr="00024A1B">
        <w:rPr>
          <w:bCs/>
          <w:color w:val="000000"/>
        </w:rPr>
        <w:t>2 páginas.</w:t>
      </w:r>
    </w:p>
    <w:p w:rsidR="00F60CA0" w:rsidRPr="00024A1B" w:rsidRDefault="00F60CA0" w:rsidP="00986D48">
      <w:pPr>
        <w:tabs>
          <w:tab w:val="left" w:pos="5907"/>
        </w:tabs>
        <w:autoSpaceDE w:val="0"/>
        <w:autoSpaceDN w:val="0"/>
        <w:adjustRightInd w:val="0"/>
        <w:spacing w:line="480" w:lineRule="auto"/>
        <w:contextualSpacing/>
        <w:rPr>
          <w:bCs/>
          <w:color w:val="000000"/>
        </w:rPr>
      </w:pPr>
    </w:p>
    <w:p w:rsidR="00F60CA0" w:rsidRPr="00024A1B" w:rsidRDefault="00F60CA0" w:rsidP="00986D48">
      <w:pPr>
        <w:tabs>
          <w:tab w:val="left" w:pos="5907"/>
        </w:tabs>
        <w:autoSpaceDE w:val="0"/>
        <w:autoSpaceDN w:val="0"/>
        <w:adjustRightInd w:val="0"/>
        <w:spacing w:line="480" w:lineRule="auto"/>
        <w:contextualSpacing/>
        <w:rPr>
          <w:b/>
          <w:bCs/>
          <w:color w:val="000000"/>
        </w:rPr>
      </w:pPr>
    </w:p>
    <w:p w:rsidR="00F60CA0" w:rsidRPr="00024A1B" w:rsidRDefault="00F60CA0" w:rsidP="00986D48">
      <w:pPr>
        <w:tabs>
          <w:tab w:val="left" w:pos="5907"/>
        </w:tabs>
        <w:autoSpaceDE w:val="0"/>
        <w:autoSpaceDN w:val="0"/>
        <w:adjustRightInd w:val="0"/>
        <w:spacing w:line="480" w:lineRule="auto"/>
        <w:contextualSpacing/>
        <w:rPr>
          <w:b/>
          <w:bCs/>
          <w:color w:val="000000"/>
        </w:rPr>
      </w:pPr>
      <w:r w:rsidRPr="00024A1B">
        <w:rPr>
          <w:b/>
          <w:bCs/>
          <w:color w:val="000000"/>
        </w:rPr>
        <w:lastRenderedPageBreak/>
        <w:t>Unidad Patrocinante</w:t>
      </w:r>
    </w:p>
    <w:p w:rsidR="00F60CA0" w:rsidRPr="00024A1B" w:rsidRDefault="00F60CA0" w:rsidP="00986D48">
      <w:pPr>
        <w:tabs>
          <w:tab w:val="left" w:pos="5907"/>
        </w:tabs>
        <w:autoSpaceDE w:val="0"/>
        <w:autoSpaceDN w:val="0"/>
        <w:adjustRightInd w:val="0"/>
        <w:spacing w:line="480" w:lineRule="auto"/>
        <w:contextualSpacing/>
        <w:rPr>
          <w:bCs/>
          <w:color w:val="000000"/>
        </w:rPr>
      </w:pPr>
      <w:r w:rsidRPr="00024A1B">
        <w:rPr>
          <w:bCs/>
          <w:color w:val="000000"/>
        </w:rPr>
        <w:t xml:space="preserve">Corporación Universitaria Minuto de Dios (UNIMINUTO), Vicerrectoría  </w:t>
      </w:r>
      <w:r>
        <w:rPr>
          <w:bCs/>
          <w:color w:val="000000"/>
        </w:rPr>
        <w:t xml:space="preserve">Académica </w:t>
      </w:r>
      <w:r w:rsidRPr="00024A1B">
        <w:rPr>
          <w:bCs/>
          <w:color w:val="000000"/>
        </w:rPr>
        <w:t xml:space="preserve"> U.V.D.</w:t>
      </w:r>
    </w:p>
    <w:p w:rsidR="00F60CA0" w:rsidRPr="00024A1B" w:rsidRDefault="00F60CA0" w:rsidP="00986D48">
      <w:pPr>
        <w:tabs>
          <w:tab w:val="left" w:pos="5907"/>
        </w:tabs>
        <w:autoSpaceDE w:val="0"/>
        <w:autoSpaceDN w:val="0"/>
        <w:adjustRightInd w:val="0"/>
        <w:spacing w:line="480" w:lineRule="auto"/>
        <w:contextualSpacing/>
        <w:rPr>
          <w:bCs/>
          <w:color w:val="000000"/>
        </w:rPr>
      </w:pPr>
    </w:p>
    <w:p w:rsidR="00F60CA0" w:rsidRPr="00024A1B" w:rsidRDefault="00F60CA0" w:rsidP="00986D48">
      <w:pPr>
        <w:tabs>
          <w:tab w:val="left" w:pos="5907"/>
        </w:tabs>
        <w:autoSpaceDE w:val="0"/>
        <w:autoSpaceDN w:val="0"/>
        <w:adjustRightInd w:val="0"/>
        <w:spacing w:line="480" w:lineRule="auto"/>
        <w:contextualSpacing/>
        <w:rPr>
          <w:b/>
          <w:bCs/>
          <w:color w:val="000000"/>
        </w:rPr>
      </w:pPr>
      <w:r w:rsidRPr="00024A1B">
        <w:rPr>
          <w:b/>
          <w:bCs/>
          <w:color w:val="000000"/>
        </w:rPr>
        <w:t>Palabras Claves</w:t>
      </w:r>
    </w:p>
    <w:p w:rsidR="00F60CA0" w:rsidRPr="00024A1B" w:rsidRDefault="007958AE" w:rsidP="00986D48">
      <w:pPr>
        <w:tabs>
          <w:tab w:val="left" w:pos="5907"/>
        </w:tabs>
        <w:autoSpaceDE w:val="0"/>
        <w:autoSpaceDN w:val="0"/>
        <w:adjustRightInd w:val="0"/>
        <w:spacing w:line="480" w:lineRule="auto"/>
        <w:contextualSpacing/>
        <w:rPr>
          <w:bCs/>
          <w:color w:val="000000"/>
        </w:rPr>
      </w:pPr>
      <w:r>
        <w:rPr>
          <w:bCs/>
          <w:color w:val="000000"/>
        </w:rPr>
        <w:t>C</w:t>
      </w:r>
      <w:r w:rsidRPr="007958AE">
        <w:rPr>
          <w:bCs/>
          <w:color w:val="000000"/>
        </w:rPr>
        <w:t xml:space="preserve">onciliación, </w:t>
      </w:r>
      <w:r>
        <w:rPr>
          <w:bCs/>
          <w:color w:val="000000"/>
        </w:rPr>
        <w:t>Causación, C</w:t>
      </w:r>
      <w:r w:rsidRPr="007958AE">
        <w:rPr>
          <w:bCs/>
          <w:color w:val="000000"/>
        </w:rPr>
        <w:t xml:space="preserve">iclo </w:t>
      </w:r>
      <w:r>
        <w:rPr>
          <w:bCs/>
          <w:color w:val="000000"/>
        </w:rPr>
        <w:t>C</w:t>
      </w:r>
      <w:r w:rsidRPr="007958AE">
        <w:rPr>
          <w:bCs/>
          <w:color w:val="000000"/>
        </w:rPr>
        <w:t xml:space="preserve">ontable, </w:t>
      </w:r>
      <w:r>
        <w:rPr>
          <w:bCs/>
          <w:color w:val="000000"/>
        </w:rPr>
        <w:t>C</w:t>
      </w:r>
      <w:r w:rsidRPr="007958AE">
        <w:rPr>
          <w:bCs/>
          <w:color w:val="000000"/>
        </w:rPr>
        <w:t xml:space="preserve">omprobantes, </w:t>
      </w:r>
      <w:r>
        <w:rPr>
          <w:bCs/>
          <w:color w:val="000000"/>
        </w:rPr>
        <w:t>R</w:t>
      </w:r>
      <w:r w:rsidRPr="007958AE">
        <w:rPr>
          <w:bCs/>
          <w:color w:val="000000"/>
        </w:rPr>
        <w:t>ecibos</w:t>
      </w:r>
      <w:r w:rsidR="00F60CA0" w:rsidRPr="00024A1B">
        <w:rPr>
          <w:bCs/>
          <w:color w:val="000000"/>
        </w:rPr>
        <w:t>.</w:t>
      </w:r>
    </w:p>
    <w:p w:rsidR="00F60CA0" w:rsidRPr="00024A1B" w:rsidRDefault="00F60CA0" w:rsidP="00986D48">
      <w:pPr>
        <w:tabs>
          <w:tab w:val="left" w:pos="5907"/>
        </w:tabs>
        <w:autoSpaceDE w:val="0"/>
        <w:autoSpaceDN w:val="0"/>
        <w:adjustRightInd w:val="0"/>
        <w:spacing w:line="480" w:lineRule="auto"/>
        <w:contextualSpacing/>
        <w:rPr>
          <w:bCs/>
          <w:color w:val="000000"/>
        </w:rPr>
      </w:pPr>
    </w:p>
    <w:p w:rsidR="00F60CA0" w:rsidRPr="00024A1B" w:rsidRDefault="00F60CA0" w:rsidP="00986D48">
      <w:pPr>
        <w:tabs>
          <w:tab w:val="left" w:pos="5907"/>
        </w:tabs>
        <w:autoSpaceDE w:val="0"/>
        <w:autoSpaceDN w:val="0"/>
        <w:adjustRightInd w:val="0"/>
        <w:spacing w:line="480" w:lineRule="auto"/>
        <w:contextualSpacing/>
        <w:rPr>
          <w:b/>
          <w:bCs/>
          <w:color w:val="000000"/>
        </w:rPr>
      </w:pPr>
      <w:r w:rsidRPr="00024A1B">
        <w:rPr>
          <w:b/>
          <w:bCs/>
          <w:color w:val="000000"/>
        </w:rPr>
        <w:t>Descripción</w:t>
      </w:r>
    </w:p>
    <w:p w:rsidR="00F60CA0" w:rsidRPr="00024A1B" w:rsidRDefault="00CD15B9" w:rsidP="00986D48">
      <w:pPr>
        <w:tabs>
          <w:tab w:val="left" w:pos="5907"/>
        </w:tabs>
        <w:autoSpaceDE w:val="0"/>
        <w:autoSpaceDN w:val="0"/>
        <w:adjustRightInd w:val="0"/>
        <w:spacing w:line="480" w:lineRule="auto"/>
        <w:contextualSpacing/>
        <w:rPr>
          <w:b/>
          <w:bCs/>
          <w:color w:val="000000"/>
          <w:lang w:val="es-CO"/>
        </w:rPr>
      </w:pPr>
      <w:r w:rsidRPr="00CD15B9">
        <w:rPr>
          <w:lang w:val="es-CO"/>
        </w:rPr>
        <w:t>El presente documento pretende evidenciar cuales son los parámetros que debe tener un cliente natural o jurídico para aplicar los impuestos distritales de la ciudad de Bogotá generados por ventas de productos químicos en la empresa BRACHEM SAS, esta empresa ubicada en la Calle 24 C Nro. 84 - 85 del Barrio Modelia de la Ciudad de Bogotá, cuya misión es sustituir los productos que contengan metales pesados en la estabilización de PVC y el desarrollar materiales que puedan ser utilizados como aditivos tanto en PVC como en otros polímeros, para minimizar el impacto ambiental; en esta empresa se realizó la práctica profesional, la cual permitió desarrollar las labores que corresponden al ciclo contable, se verificó cada uno de los soportes para identificar la transacción correspondiente con el fin de registrar la causación del evento económico en el software contable, se realizó la conciliación bancaria de la cuenta de ahorros del Banco Davivienda donde se registraron los ingresos y pagos realizados durante el mes, se realizó la conciliación de la caja menor con recibos de caja y comprobantes de egreso, se apoyó las labores del archivo contable con cada uno de los soportes físicos.</w:t>
      </w:r>
    </w:p>
    <w:p w:rsidR="00CD15B9" w:rsidRDefault="00CD15B9" w:rsidP="00986D48">
      <w:pPr>
        <w:tabs>
          <w:tab w:val="left" w:pos="1044"/>
          <w:tab w:val="left" w:pos="5907"/>
        </w:tabs>
        <w:spacing w:line="480" w:lineRule="auto"/>
        <w:contextualSpacing/>
        <w:jc w:val="both"/>
        <w:rPr>
          <w:b/>
          <w:bCs/>
        </w:rPr>
      </w:pPr>
    </w:p>
    <w:p w:rsidR="00986D48" w:rsidRDefault="00986D48">
      <w:pPr>
        <w:rPr>
          <w:b/>
          <w:bCs/>
        </w:rPr>
      </w:pPr>
      <w:r>
        <w:rPr>
          <w:b/>
          <w:bCs/>
        </w:rPr>
        <w:br w:type="page"/>
      </w:r>
    </w:p>
    <w:p w:rsidR="00F60CA0" w:rsidRPr="00024A1B" w:rsidRDefault="00F60CA0" w:rsidP="00F60CA0">
      <w:pPr>
        <w:tabs>
          <w:tab w:val="left" w:pos="1044"/>
          <w:tab w:val="left" w:pos="5907"/>
        </w:tabs>
        <w:spacing w:line="360" w:lineRule="auto"/>
        <w:jc w:val="both"/>
        <w:rPr>
          <w:b/>
          <w:bCs/>
        </w:rPr>
      </w:pPr>
      <w:r w:rsidRPr="00024A1B">
        <w:rPr>
          <w:b/>
          <w:bCs/>
        </w:rPr>
        <w:lastRenderedPageBreak/>
        <w:t>Fuentes</w:t>
      </w:r>
    </w:p>
    <w:p w:rsidR="00F60CA0" w:rsidRPr="00024A1B" w:rsidRDefault="00F60CA0" w:rsidP="00F60CA0">
      <w:pPr>
        <w:tabs>
          <w:tab w:val="left" w:pos="1044"/>
          <w:tab w:val="left" w:pos="5907"/>
        </w:tabs>
        <w:spacing w:line="360" w:lineRule="auto"/>
        <w:jc w:val="both"/>
        <w:rPr>
          <w:b/>
          <w:bCs/>
        </w:rPr>
      </w:pPr>
    </w:p>
    <w:sdt>
      <w:sdtPr>
        <w:rPr>
          <w:rFonts w:eastAsiaTheme="minorHAnsi" w:cstheme="minorBidi"/>
          <w:color w:val="000000" w:themeColor="text1"/>
          <w:szCs w:val="22"/>
          <w:lang w:val="es-MX" w:eastAsia="en-US"/>
        </w:rPr>
        <w:id w:val="111145805"/>
        <w:bibliography/>
      </w:sdtPr>
      <w:sdtContent>
        <w:p w:rsidR="00986D48" w:rsidRPr="00986D48" w:rsidRDefault="00986D48" w:rsidP="00986D48">
          <w:pPr>
            <w:spacing w:after="200" w:line="480" w:lineRule="auto"/>
            <w:ind w:left="720" w:hanging="720"/>
            <w:rPr>
              <w:rFonts w:eastAsiaTheme="minorHAnsi" w:cstheme="minorBidi"/>
              <w:noProof/>
              <w:color w:val="000000" w:themeColor="text1"/>
              <w:lang w:eastAsia="en-US"/>
            </w:rPr>
          </w:pPr>
          <w:r w:rsidRPr="00986D48">
            <w:rPr>
              <w:rFonts w:eastAsiaTheme="minorHAnsi" w:cstheme="minorBidi"/>
              <w:color w:val="000000" w:themeColor="text1"/>
              <w:szCs w:val="22"/>
              <w:lang w:val="es-MX" w:eastAsia="en-US"/>
            </w:rPr>
            <w:fldChar w:fldCharType="begin"/>
          </w:r>
          <w:r w:rsidRPr="00986D48">
            <w:rPr>
              <w:rFonts w:eastAsiaTheme="minorHAnsi" w:cstheme="minorBidi"/>
              <w:color w:val="000000" w:themeColor="text1"/>
              <w:szCs w:val="22"/>
              <w:lang w:val="es-MX" w:eastAsia="en-US"/>
            </w:rPr>
            <w:instrText>BIBLIOGRAPHY</w:instrText>
          </w:r>
          <w:r w:rsidRPr="00986D48">
            <w:rPr>
              <w:rFonts w:eastAsiaTheme="minorHAnsi" w:cstheme="minorBidi"/>
              <w:color w:val="000000" w:themeColor="text1"/>
              <w:szCs w:val="22"/>
              <w:lang w:val="es-MX" w:eastAsia="en-US"/>
            </w:rPr>
            <w:fldChar w:fldCharType="separate"/>
          </w:r>
          <w:r w:rsidRPr="00986D48">
            <w:rPr>
              <w:rFonts w:eastAsiaTheme="minorHAnsi" w:cstheme="minorBidi"/>
              <w:noProof/>
              <w:color w:val="000000" w:themeColor="text1"/>
              <w:szCs w:val="22"/>
              <w:lang w:eastAsia="en-US"/>
            </w:rPr>
            <w:t xml:space="preserve">Actualicese. (13 de 06 de 2014). </w:t>
          </w:r>
          <w:r w:rsidRPr="00986D48">
            <w:rPr>
              <w:rFonts w:eastAsiaTheme="minorHAnsi" w:cstheme="minorBidi"/>
              <w:i/>
              <w:iCs/>
              <w:noProof/>
              <w:color w:val="000000" w:themeColor="text1"/>
              <w:szCs w:val="22"/>
              <w:lang w:eastAsia="en-US"/>
            </w:rPr>
            <w:t>Definición de Estados Financieros</w:t>
          </w:r>
          <w:r w:rsidRPr="00986D48">
            <w:rPr>
              <w:rFonts w:eastAsiaTheme="minorHAnsi" w:cstheme="minorBidi"/>
              <w:noProof/>
              <w:color w:val="000000" w:themeColor="text1"/>
              <w:szCs w:val="22"/>
              <w:lang w:eastAsia="en-US"/>
            </w:rPr>
            <w:t>. Obtenido de Actualicese: https://actualicese.com/2014/06/13/definicion-de-estados-financieros/</w:t>
          </w:r>
        </w:p>
        <w:p w:rsidR="00986D48" w:rsidRPr="00986D48" w:rsidRDefault="00986D48" w:rsidP="00986D48">
          <w:pPr>
            <w:spacing w:after="200" w:line="480" w:lineRule="auto"/>
            <w:ind w:left="720" w:hanging="720"/>
            <w:rPr>
              <w:rFonts w:eastAsiaTheme="minorHAnsi" w:cstheme="minorBidi"/>
              <w:noProof/>
              <w:color w:val="000000" w:themeColor="text1"/>
              <w:szCs w:val="22"/>
              <w:lang w:eastAsia="en-US"/>
            </w:rPr>
          </w:pPr>
          <w:r w:rsidRPr="00986D48">
            <w:rPr>
              <w:rFonts w:eastAsiaTheme="minorHAnsi" w:cstheme="minorBidi"/>
              <w:noProof/>
              <w:color w:val="000000" w:themeColor="text1"/>
              <w:szCs w:val="22"/>
              <w:lang w:eastAsia="en-US"/>
            </w:rPr>
            <w:t xml:space="preserve">Alvin Arens, R. E. (2007). </w:t>
          </w:r>
          <w:r w:rsidRPr="00986D48">
            <w:rPr>
              <w:rFonts w:eastAsiaTheme="minorHAnsi" w:cstheme="minorBidi"/>
              <w:i/>
              <w:iCs/>
              <w:noProof/>
              <w:color w:val="000000" w:themeColor="text1"/>
              <w:szCs w:val="22"/>
              <w:lang w:eastAsia="en-US"/>
            </w:rPr>
            <w:t>Auditoría un enfoque integral</w:t>
          </w:r>
          <w:r w:rsidRPr="00986D48">
            <w:rPr>
              <w:rFonts w:eastAsiaTheme="minorHAnsi" w:cstheme="minorBidi"/>
              <w:noProof/>
              <w:color w:val="000000" w:themeColor="text1"/>
              <w:szCs w:val="22"/>
              <w:lang w:eastAsia="en-US"/>
            </w:rPr>
            <w:t xml:space="preserve"> (11 ed.). México: Pearson.</w:t>
          </w:r>
        </w:p>
        <w:p w:rsidR="00986D48" w:rsidRPr="00986D48" w:rsidRDefault="00986D48" w:rsidP="00986D48">
          <w:pPr>
            <w:spacing w:after="200" w:line="480" w:lineRule="auto"/>
            <w:ind w:left="720" w:hanging="720"/>
            <w:rPr>
              <w:rFonts w:eastAsiaTheme="minorHAnsi" w:cstheme="minorBidi"/>
              <w:noProof/>
              <w:color w:val="000000" w:themeColor="text1"/>
              <w:szCs w:val="22"/>
              <w:lang w:eastAsia="en-US"/>
            </w:rPr>
          </w:pPr>
          <w:r w:rsidRPr="00986D48">
            <w:rPr>
              <w:rFonts w:eastAsiaTheme="minorHAnsi" w:cstheme="minorBidi"/>
              <w:noProof/>
              <w:color w:val="000000" w:themeColor="text1"/>
              <w:szCs w:val="22"/>
              <w:lang w:eastAsia="en-US"/>
            </w:rPr>
            <w:t xml:space="preserve">Barón, L. (01 de 12 de 2012). </w:t>
          </w:r>
          <w:r w:rsidRPr="00986D48">
            <w:rPr>
              <w:rFonts w:eastAsiaTheme="minorHAnsi" w:cstheme="minorBidi"/>
              <w:i/>
              <w:iCs/>
              <w:noProof/>
              <w:color w:val="000000" w:themeColor="text1"/>
              <w:szCs w:val="22"/>
              <w:lang w:eastAsia="en-US"/>
            </w:rPr>
            <w:t>Gerencie.com</w:t>
          </w:r>
          <w:r w:rsidRPr="00986D48">
            <w:rPr>
              <w:rFonts w:eastAsiaTheme="minorHAnsi" w:cstheme="minorBidi"/>
              <w:noProof/>
              <w:color w:val="000000" w:themeColor="text1"/>
              <w:szCs w:val="22"/>
              <w:lang w:eastAsia="en-US"/>
            </w:rPr>
            <w:t>. Obtenido de https://www.gerencie.com/que-es-eso-de-la-contabilidad-tributaria.html</w:t>
          </w:r>
        </w:p>
        <w:p w:rsidR="00986D48" w:rsidRPr="00986D48" w:rsidRDefault="00986D48" w:rsidP="00986D48">
          <w:pPr>
            <w:spacing w:after="200" w:line="480" w:lineRule="auto"/>
            <w:ind w:left="720" w:hanging="720"/>
            <w:rPr>
              <w:rFonts w:eastAsiaTheme="minorHAnsi" w:cstheme="minorBidi"/>
              <w:noProof/>
              <w:color w:val="000000" w:themeColor="text1"/>
              <w:szCs w:val="22"/>
              <w:lang w:eastAsia="en-US"/>
            </w:rPr>
          </w:pPr>
          <w:r w:rsidRPr="00986D48">
            <w:rPr>
              <w:rFonts w:eastAsiaTheme="minorHAnsi" w:cstheme="minorBidi"/>
              <w:noProof/>
              <w:color w:val="000000" w:themeColor="text1"/>
              <w:szCs w:val="22"/>
              <w:lang w:eastAsia="en-US"/>
            </w:rPr>
            <w:t xml:space="preserve">Bogotá, S. d. (07 de 2017). </w:t>
          </w:r>
          <w:r w:rsidRPr="00986D48">
            <w:rPr>
              <w:rFonts w:eastAsiaTheme="minorHAnsi" w:cstheme="minorBidi"/>
              <w:i/>
              <w:iCs/>
              <w:noProof/>
              <w:color w:val="000000" w:themeColor="text1"/>
              <w:szCs w:val="22"/>
              <w:lang w:eastAsia="en-US"/>
            </w:rPr>
            <w:t>Sistema Tributario Distrital.</w:t>
          </w:r>
          <w:r w:rsidRPr="00986D48">
            <w:rPr>
              <w:rFonts w:eastAsiaTheme="minorHAnsi" w:cstheme="minorBidi"/>
              <w:noProof/>
              <w:color w:val="000000" w:themeColor="text1"/>
              <w:szCs w:val="22"/>
              <w:lang w:eastAsia="en-US"/>
            </w:rPr>
            <w:t xml:space="preserve"> Obtenido de http://www.shd.gov.co/shd/sites/default/files/files/impuestos/manual_normativo.pdf</w:t>
          </w:r>
        </w:p>
        <w:p w:rsidR="00986D48" w:rsidRPr="00986D48" w:rsidRDefault="00986D48" w:rsidP="00986D48">
          <w:pPr>
            <w:spacing w:after="200" w:line="480" w:lineRule="auto"/>
            <w:ind w:left="720" w:hanging="720"/>
            <w:rPr>
              <w:rFonts w:eastAsiaTheme="minorHAnsi" w:cstheme="minorBidi"/>
              <w:noProof/>
              <w:color w:val="000000" w:themeColor="text1"/>
              <w:szCs w:val="22"/>
              <w:lang w:eastAsia="en-US"/>
            </w:rPr>
          </w:pPr>
          <w:r w:rsidRPr="00986D48">
            <w:rPr>
              <w:rFonts w:eastAsiaTheme="minorHAnsi" w:cstheme="minorBidi"/>
              <w:noProof/>
              <w:color w:val="000000" w:themeColor="text1"/>
              <w:szCs w:val="22"/>
              <w:lang w:eastAsia="en-US"/>
            </w:rPr>
            <w:t xml:space="preserve">Distrital, S. d. (07 de 2017). </w:t>
          </w:r>
          <w:r w:rsidRPr="00986D48">
            <w:rPr>
              <w:rFonts w:eastAsiaTheme="minorHAnsi" w:cstheme="minorBidi"/>
              <w:i/>
              <w:iCs/>
              <w:noProof/>
              <w:color w:val="000000" w:themeColor="text1"/>
              <w:szCs w:val="22"/>
              <w:lang w:eastAsia="en-US"/>
            </w:rPr>
            <w:t>Manual Normativo de Impuestos Distritales</w:t>
          </w:r>
          <w:r w:rsidRPr="00986D48">
            <w:rPr>
              <w:rFonts w:eastAsiaTheme="minorHAnsi" w:cstheme="minorBidi"/>
              <w:noProof/>
              <w:color w:val="000000" w:themeColor="text1"/>
              <w:szCs w:val="22"/>
              <w:lang w:eastAsia="en-US"/>
            </w:rPr>
            <w:t>. Obtenido de http://www.shd.gov.co/shd/sites/default/files/files/impuestos/manual_normativo.pdf</w:t>
          </w:r>
        </w:p>
        <w:p w:rsidR="00986D48" w:rsidRPr="00986D48" w:rsidRDefault="00986D48" w:rsidP="00986D48">
          <w:pPr>
            <w:spacing w:after="200" w:line="480" w:lineRule="auto"/>
            <w:ind w:left="720" w:hanging="720"/>
            <w:rPr>
              <w:rFonts w:eastAsiaTheme="minorHAnsi" w:cstheme="minorBidi"/>
              <w:noProof/>
              <w:color w:val="000000" w:themeColor="text1"/>
              <w:szCs w:val="22"/>
              <w:lang w:eastAsia="en-US"/>
            </w:rPr>
          </w:pPr>
          <w:r w:rsidRPr="00986D48">
            <w:rPr>
              <w:rFonts w:eastAsiaTheme="minorHAnsi" w:cstheme="minorBidi"/>
              <w:noProof/>
              <w:color w:val="000000" w:themeColor="text1"/>
              <w:szCs w:val="22"/>
              <w:lang w:eastAsia="en-US"/>
            </w:rPr>
            <w:t xml:space="preserve">Ecoaditivos, B. (09 de 2006). </w:t>
          </w:r>
          <w:r w:rsidRPr="00986D48">
            <w:rPr>
              <w:rFonts w:eastAsiaTheme="minorHAnsi" w:cstheme="minorBidi"/>
              <w:i/>
              <w:iCs/>
              <w:noProof/>
              <w:color w:val="000000" w:themeColor="text1"/>
              <w:szCs w:val="22"/>
              <w:lang w:eastAsia="en-US"/>
            </w:rPr>
            <w:t>Brachem Ecoaditivos</w:t>
          </w:r>
          <w:r w:rsidRPr="00986D48">
            <w:rPr>
              <w:rFonts w:eastAsiaTheme="minorHAnsi" w:cstheme="minorBidi"/>
              <w:noProof/>
              <w:color w:val="000000" w:themeColor="text1"/>
              <w:szCs w:val="22"/>
              <w:lang w:eastAsia="en-US"/>
            </w:rPr>
            <w:t>. Obtenido de http://www.brachem.co/aditivos-ecologicos.html</w:t>
          </w:r>
        </w:p>
        <w:p w:rsidR="00986D48" w:rsidRPr="00986D48" w:rsidRDefault="00986D48" w:rsidP="00986D48">
          <w:pPr>
            <w:spacing w:after="200" w:line="480" w:lineRule="auto"/>
            <w:ind w:left="720" w:hanging="720"/>
            <w:rPr>
              <w:rFonts w:eastAsiaTheme="minorHAnsi" w:cstheme="minorBidi"/>
              <w:noProof/>
              <w:color w:val="000000" w:themeColor="text1"/>
              <w:szCs w:val="22"/>
              <w:lang w:eastAsia="en-US"/>
            </w:rPr>
          </w:pPr>
          <w:r w:rsidRPr="00986D48">
            <w:rPr>
              <w:rFonts w:eastAsiaTheme="minorHAnsi" w:cstheme="minorBidi"/>
              <w:noProof/>
              <w:color w:val="000000" w:themeColor="text1"/>
              <w:szCs w:val="22"/>
              <w:lang w:eastAsia="en-US"/>
            </w:rPr>
            <w:t xml:space="preserve">Garcia, A. C. (16 de 03 de 2007). </w:t>
          </w:r>
          <w:r w:rsidRPr="00986D48">
            <w:rPr>
              <w:rFonts w:eastAsiaTheme="minorHAnsi" w:cstheme="minorBidi"/>
              <w:i/>
              <w:iCs/>
              <w:noProof/>
              <w:color w:val="000000" w:themeColor="text1"/>
              <w:szCs w:val="22"/>
              <w:lang w:eastAsia="en-US"/>
            </w:rPr>
            <w:t>Gestiopolis.com</w:t>
          </w:r>
          <w:r w:rsidRPr="00986D48">
            <w:rPr>
              <w:rFonts w:eastAsiaTheme="minorHAnsi" w:cstheme="minorBidi"/>
              <w:noProof/>
              <w:color w:val="000000" w:themeColor="text1"/>
              <w:szCs w:val="22"/>
              <w:lang w:eastAsia="en-US"/>
            </w:rPr>
            <w:t>. Obtenido de https://www.gestiopolis.com/contabilidad-de-gestion-y-contabilidad-de-costos/</w:t>
          </w:r>
        </w:p>
        <w:p w:rsidR="00986D48" w:rsidRPr="00986D48" w:rsidRDefault="00986D48" w:rsidP="00986D48">
          <w:pPr>
            <w:spacing w:after="200" w:line="480" w:lineRule="auto"/>
            <w:ind w:left="720" w:hanging="720"/>
            <w:rPr>
              <w:rFonts w:eastAsiaTheme="minorHAnsi" w:cstheme="minorBidi"/>
              <w:noProof/>
              <w:color w:val="000000" w:themeColor="text1"/>
              <w:szCs w:val="22"/>
              <w:lang w:eastAsia="en-US"/>
            </w:rPr>
          </w:pPr>
          <w:r w:rsidRPr="00986D48">
            <w:rPr>
              <w:rFonts w:eastAsiaTheme="minorHAnsi" w:cstheme="minorBidi"/>
              <w:noProof/>
              <w:color w:val="000000" w:themeColor="text1"/>
              <w:szCs w:val="22"/>
              <w:lang w:eastAsia="en-US"/>
            </w:rPr>
            <w:t xml:space="preserve">Gerencie.com. (06 de 11 de 2017). </w:t>
          </w:r>
          <w:r w:rsidRPr="00986D48">
            <w:rPr>
              <w:rFonts w:eastAsiaTheme="minorHAnsi" w:cstheme="minorBidi"/>
              <w:i/>
              <w:iCs/>
              <w:noProof/>
              <w:color w:val="000000" w:themeColor="text1"/>
              <w:szCs w:val="22"/>
              <w:lang w:eastAsia="en-US"/>
            </w:rPr>
            <w:t>Registro en la contabilidad de las operaciones con terceros</w:t>
          </w:r>
          <w:r w:rsidRPr="00986D48">
            <w:rPr>
              <w:rFonts w:eastAsiaTheme="minorHAnsi" w:cstheme="minorBidi"/>
              <w:noProof/>
              <w:color w:val="000000" w:themeColor="text1"/>
              <w:szCs w:val="22"/>
              <w:lang w:eastAsia="en-US"/>
            </w:rPr>
            <w:t>. Obtenido de Gerencie.com: https://www.gerencie.com/registro-en-la-contabilidad-de-las-operaciones-con-terceros.html</w:t>
          </w:r>
        </w:p>
        <w:p w:rsidR="00986D48" w:rsidRPr="00986D48" w:rsidRDefault="00986D48" w:rsidP="00986D48">
          <w:pPr>
            <w:spacing w:after="200" w:line="480" w:lineRule="auto"/>
            <w:ind w:left="720" w:hanging="720"/>
            <w:rPr>
              <w:rFonts w:eastAsiaTheme="minorHAnsi" w:cstheme="minorBidi"/>
              <w:noProof/>
              <w:color w:val="000000" w:themeColor="text1"/>
              <w:szCs w:val="22"/>
              <w:lang w:eastAsia="en-US"/>
            </w:rPr>
          </w:pPr>
          <w:r w:rsidRPr="00986D48">
            <w:rPr>
              <w:rFonts w:eastAsiaTheme="minorHAnsi" w:cstheme="minorBidi"/>
              <w:noProof/>
              <w:color w:val="000000" w:themeColor="text1"/>
              <w:szCs w:val="22"/>
              <w:lang w:eastAsia="en-US"/>
            </w:rPr>
            <w:t xml:space="preserve">gestiopolis, E. (14 de 09 de 2002). </w:t>
          </w:r>
          <w:r w:rsidRPr="00986D48">
            <w:rPr>
              <w:rFonts w:eastAsiaTheme="minorHAnsi" w:cstheme="minorBidi"/>
              <w:i/>
              <w:iCs/>
              <w:noProof/>
              <w:color w:val="000000" w:themeColor="text1"/>
              <w:szCs w:val="22"/>
              <w:lang w:eastAsia="en-US"/>
            </w:rPr>
            <w:t>gestiopolis.com</w:t>
          </w:r>
          <w:r w:rsidRPr="00986D48">
            <w:rPr>
              <w:rFonts w:eastAsiaTheme="minorHAnsi" w:cstheme="minorBidi"/>
              <w:noProof/>
              <w:color w:val="000000" w:themeColor="text1"/>
              <w:szCs w:val="22"/>
              <w:lang w:eastAsia="en-US"/>
            </w:rPr>
            <w:t>. Obtenido de https://www.gestiopolis.com/que-es-contabilidad-financiera/</w:t>
          </w:r>
        </w:p>
        <w:p w:rsidR="00986D48" w:rsidRPr="00986D48" w:rsidRDefault="00986D48" w:rsidP="00986D48">
          <w:pPr>
            <w:spacing w:after="200" w:line="480" w:lineRule="auto"/>
            <w:ind w:left="720" w:hanging="720"/>
            <w:rPr>
              <w:rFonts w:eastAsiaTheme="minorHAnsi" w:cstheme="minorBidi"/>
              <w:noProof/>
              <w:color w:val="000000" w:themeColor="text1"/>
              <w:szCs w:val="22"/>
              <w:lang w:eastAsia="en-US"/>
            </w:rPr>
          </w:pPr>
          <w:r w:rsidRPr="00986D48">
            <w:rPr>
              <w:rFonts w:eastAsiaTheme="minorHAnsi" w:cstheme="minorBidi"/>
              <w:noProof/>
              <w:color w:val="000000" w:themeColor="text1"/>
              <w:szCs w:val="22"/>
              <w:lang w:eastAsia="en-US"/>
            </w:rPr>
            <w:lastRenderedPageBreak/>
            <w:t xml:space="preserve">Guadalupe Ochoa, R. S. (2012). </w:t>
          </w:r>
          <w:r w:rsidRPr="00986D48">
            <w:rPr>
              <w:rFonts w:eastAsiaTheme="minorHAnsi" w:cstheme="minorBidi"/>
              <w:i/>
              <w:iCs/>
              <w:noProof/>
              <w:color w:val="000000" w:themeColor="text1"/>
              <w:szCs w:val="22"/>
              <w:lang w:eastAsia="en-US"/>
            </w:rPr>
            <w:t>Administración Financiera.</w:t>
          </w:r>
          <w:r w:rsidRPr="00986D48">
            <w:rPr>
              <w:rFonts w:eastAsiaTheme="minorHAnsi" w:cstheme="minorBidi"/>
              <w:noProof/>
              <w:color w:val="000000" w:themeColor="text1"/>
              <w:szCs w:val="22"/>
              <w:lang w:eastAsia="en-US"/>
            </w:rPr>
            <w:t xml:space="preserve"> Mexico: Mc Graw Hill.</w:t>
          </w:r>
        </w:p>
        <w:p w:rsidR="00986D48" w:rsidRPr="00986D48" w:rsidRDefault="00986D48" w:rsidP="00986D48">
          <w:pPr>
            <w:spacing w:after="200" w:line="480" w:lineRule="auto"/>
            <w:ind w:left="720" w:hanging="720"/>
            <w:rPr>
              <w:rFonts w:eastAsiaTheme="minorHAnsi" w:cstheme="minorBidi"/>
              <w:noProof/>
              <w:color w:val="000000" w:themeColor="text1"/>
              <w:szCs w:val="22"/>
              <w:lang w:eastAsia="en-US"/>
            </w:rPr>
          </w:pPr>
          <w:r w:rsidRPr="00986D48">
            <w:rPr>
              <w:rFonts w:eastAsiaTheme="minorHAnsi" w:cstheme="minorBidi"/>
              <w:noProof/>
              <w:color w:val="000000" w:themeColor="text1"/>
              <w:szCs w:val="22"/>
              <w:lang w:eastAsia="en-US"/>
            </w:rPr>
            <w:t xml:space="preserve">Horngren, S. E. (2000). </w:t>
          </w:r>
          <w:r w:rsidRPr="00986D48">
            <w:rPr>
              <w:rFonts w:eastAsiaTheme="minorHAnsi" w:cstheme="minorBidi"/>
              <w:i/>
              <w:iCs/>
              <w:noProof/>
              <w:color w:val="000000" w:themeColor="text1"/>
              <w:szCs w:val="22"/>
              <w:lang w:eastAsia="en-US"/>
            </w:rPr>
            <w:t>Introducción a la Contabilidad Financiera</w:t>
          </w:r>
          <w:r w:rsidRPr="00986D48">
            <w:rPr>
              <w:rFonts w:eastAsiaTheme="minorHAnsi" w:cstheme="minorBidi"/>
              <w:noProof/>
              <w:color w:val="000000" w:themeColor="text1"/>
              <w:szCs w:val="22"/>
              <w:lang w:eastAsia="en-US"/>
            </w:rPr>
            <w:t xml:space="preserve"> (7 ed.). Mexico: Pearson educación.</w:t>
          </w:r>
        </w:p>
        <w:p w:rsidR="00986D48" w:rsidRPr="00986D48" w:rsidRDefault="00986D48" w:rsidP="00986D48">
          <w:pPr>
            <w:spacing w:after="200" w:line="480" w:lineRule="auto"/>
            <w:ind w:left="720" w:hanging="720"/>
            <w:rPr>
              <w:rFonts w:eastAsiaTheme="minorHAnsi" w:cstheme="minorBidi"/>
              <w:noProof/>
              <w:color w:val="000000" w:themeColor="text1"/>
              <w:szCs w:val="22"/>
              <w:lang w:eastAsia="en-US"/>
            </w:rPr>
          </w:pPr>
          <w:r w:rsidRPr="00986D48">
            <w:rPr>
              <w:rFonts w:eastAsiaTheme="minorHAnsi" w:cstheme="minorBidi"/>
              <w:noProof/>
              <w:color w:val="000000" w:themeColor="text1"/>
              <w:szCs w:val="22"/>
              <w:lang w:eastAsia="en-US"/>
            </w:rPr>
            <w:t xml:space="preserve">Lang, V. M. (15 de 03 de 2015). </w:t>
          </w:r>
          <w:r w:rsidRPr="00986D48">
            <w:rPr>
              <w:rFonts w:eastAsiaTheme="minorHAnsi" w:cstheme="minorBidi"/>
              <w:i/>
              <w:iCs/>
              <w:noProof/>
              <w:color w:val="000000" w:themeColor="text1"/>
              <w:szCs w:val="22"/>
              <w:lang w:eastAsia="en-US"/>
            </w:rPr>
            <w:t>Gestiopolis.com</w:t>
          </w:r>
          <w:r w:rsidRPr="00986D48">
            <w:rPr>
              <w:rFonts w:eastAsiaTheme="minorHAnsi" w:cstheme="minorBidi"/>
              <w:noProof/>
              <w:color w:val="000000" w:themeColor="text1"/>
              <w:szCs w:val="22"/>
              <w:lang w:eastAsia="en-US"/>
            </w:rPr>
            <w:t>. Obtenido de https://www.gestiopolis.com/regulacion-contable-armonizacion-y-normas-internacionales-de-contabilidad-ante-la-globalizacion/</w:t>
          </w:r>
        </w:p>
        <w:p w:rsidR="00986D48" w:rsidRPr="00986D48" w:rsidRDefault="00986D48" w:rsidP="00986D48">
          <w:pPr>
            <w:spacing w:after="200" w:line="480" w:lineRule="auto"/>
            <w:ind w:left="720" w:hanging="720"/>
            <w:rPr>
              <w:rFonts w:eastAsiaTheme="minorHAnsi" w:cstheme="minorBidi"/>
              <w:noProof/>
              <w:color w:val="000000" w:themeColor="text1"/>
              <w:szCs w:val="22"/>
              <w:lang w:eastAsia="en-US"/>
            </w:rPr>
          </w:pPr>
          <w:r w:rsidRPr="00986D48">
            <w:rPr>
              <w:rFonts w:eastAsiaTheme="minorHAnsi" w:cstheme="minorBidi"/>
              <w:noProof/>
              <w:color w:val="000000" w:themeColor="text1"/>
              <w:szCs w:val="22"/>
              <w:lang w:eastAsia="en-US"/>
            </w:rPr>
            <w:t xml:space="preserve">María Constanza Diaz, R. P. (2016). </w:t>
          </w:r>
          <w:r w:rsidRPr="00986D48">
            <w:rPr>
              <w:rFonts w:eastAsiaTheme="minorHAnsi" w:cstheme="minorBidi"/>
              <w:i/>
              <w:iCs/>
              <w:noProof/>
              <w:color w:val="000000" w:themeColor="text1"/>
              <w:szCs w:val="22"/>
              <w:lang w:eastAsia="en-US"/>
            </w:rPr>
            <w:t>Presupestos Enfoque para la planeación financiera.</w:t>
          </w:r>
          <w:r w:rsidRPr="00986D48">
            <w:rPr>
              <w:rFonts w:eastAsiaTheme="minorHAnsi" w:cstheme="minorBidi"/>
              <w:noProof/>
              <w:color w:val="000000" w:themeColor="text1"/>
              <w:szCs w:val="22"/>
              <w:lang w:eastAsia="en-US"/>
            </w:rPr>
            <w:t xml:space="preserve"> Bogotá: Pearson.</w:t>
          </w:r>
        </w:p>
        <w:p w:rsidR="00986D48" w:rsidRPr="00986D48" w:rsidRDefault="00986D48" w:rsidP="00986D48">
          <w:pPr>
            <w:spacing w:after="200" w:line="480" w:lineRule="auto"/>
            <w:ind w:left="720" w:hanging="720"/>
            <w:rPr>
              <w:rFonts w:eastAsiaTheme="minorHAnsi" w:cstheme="minorBidi"/>
              <w:noProof/>
              <w:color w:val="000000" w:themeColor="text1"/>
              <w:szCs w:val="22"/>
              <w:lang w:eastAsia="en-US"/>
            </w:rPr>
          </w:pPr>
          <w:r w:rsidRPr="00986D48">
            <w:rPr>
              <w:rFonts w:eastAsiaTheme="minorHAnsi" w:cstheme="minorBidi"/>
              <w:noProof/>
              <w:color w:val="000000" w:themeColor="text1"/>
              <w:szCs w:val="22"/>
              <w:lang w:eastAsia="en-US"/>
            </w:rPr>
            <w:t xml:space="preserve">Vargas, C. M. (2017). </w:t>
          </w:r>
          <w:r w:rsidRPr="00986D48">
            <w:rPr>
              <w:rFonts w:eastAsiaTheme="minorHAnsi" w:cstheme="minorBidi"/>
              <w:i/>
              <w:iCs/>
              <w:noProof/>
              <w:color w:val="000000" w:themeColor="text1"/>
              <w:szCs w:val="22"/>
              <w:lang w:eastAsia="en-US"/>
            </w:rPr>
            <w:t>Contabilidad Tributaria.</w:t>
          </w:r>
          <w:r w:rsidRPr="00986D48">
            <w:rPr>
              <w:rFonts w:eastAsiaTheme="minorHAnsi" w:cstheme="minorBidi"/>
              <w:noProof/>
              <w:color w:val="000000" w:themeColor="text1"/>
              <w:szCs w:val="22"/>
              <w:lang w:eastAsia="en-US"/>
            </w:rPr>
            <w:t xml:space="preserve"> Bogotá D.C.: Ecoe Ediciones.</w:t>
          </w:r>
        </w:p>
        <w:p w:rsidR="00986D48" w:rsidRPr="00986D48" w:rsidRDefault="00986D48" w:rsidP="00986D48">
          <w:pPr>
            <w:spacing w:after="200" w:line="480" w:lineRule="auto"/>
            <w:ind w:left="720" w:hanging="720"/>
            <w:rPr>
              <w:rFonts w:eastAsiaTheme="minorHAnsi" w:cstheme="minorBidi"/>
              <w:noProof/>
              <w:color w:val="000000" w:themeColor="text1"/>
              <w:szCs w:val="22"/>
              <w:lang w:eastAsia="en-US"/>
            </w:rPr>
          </w:pPr>
          <w:r w:rsidRPr="00986D48">
            <w:rPr>
              <w:rFonts w:eastAsiaTheme="minorHAnsi" w:cstheme="minorBidi"/>
              <w:noProof/>
              <w:color w:val="000000" w:themeColor="text1"/>
              <w:szCs w:val="22"/>
              <w:lang w:eastAsia="en-US"/>
            </w:rPr>
            <w:t xml:space="preserve">Zambrano, J. L. (6 de 11 de 2014). </w:t>
          </w:r>
          <w:r w:rsidRPr="00986D48">
            <w:rPr>
              <w:rFonts w:eastAsiaTheme="minorHAnsi" w:cstheme="minorBidi"/>
              <w:i/>
              <w:iCs/>
              <w:noProof/>
              <w:color w:val="000000" w:themeColor="text1"/>
              <w:szCs w:val="22"/>
              <w:lang w:eastAsia="en-US"/>
            </w:rPr>
            <w:t>Gestiopolis.com</w:t>
          </w:r>
          <w:r w:rsidRPr="00986D48">
            <w:rPr>
              <w:rFonts w:eastAsiaTheme="minorHAnsi" w:cstheme="minorBidi"/>
              <w:noProof/>
              <w:color w:val="000000" w:themeColor="text1"/>
              <w:szCs w:val="22"/>
              <w:lang w:eastAsia="en-US"/>
            </w:rPr>
            <w:t>. Obtenido de https://www.gestiopolis.com/conceptos-basicos-de-finanzas-que-un-universitario-debe-saber/</w:t>
          </w:r>
        </w:p>
        <w:p w:rsidR="00986D48" w:rsidRDefault="00986D48" w:rsidP="00986D48">
          <w:pPr>
            <w:spacing w:line="480" w:lineRule="auto"/>
            <w:contextualSpacing/>
            <w:rPr>
              <w:rFonts w:eastAsiaTheme="minorHAnsi" w:cstheme="minorBidi"/>
              <w:color w:val="000000" w:themeColor="text1"/>
              <w:szCs w:val="22"/>
              <w:lang w:val="es-MX" w:eastAsia="en-US"/>
            </w:rPr>
          </w:pPr>
          <w:r w:rsidRPr="00986D48">
            <w:rPr>
              <w:rFonts w:eastAsiaTheme="minorHAnsi" w:cstheme="minorBidi"/>
              <w:b/>
              <w:bCs/>
              <w:color w:val="000000" w:themeColor="text1"/>
              <w:szCs w:val="22"/>
              <w:lang w:val="es-MX" w:eastAsia="en-US"/>
            </w:rPr>
            <w:fldChar w:fldCharType="end"/>
          </w:r>
        </w:p>
      </w:sdtContent>
    </w:sdt>
    <w:p w:rsidR="00F60CA0" w:rsidRPr="00024A1B" w:rsidRDefault="00F60CA0" w:rsidP="00986D48">
      <w:pPr>
        <w:tabs>
          <w:tab w:val="left" w:pos="1044"/>
          <w:tab w:val="left" w:pos="5907"/>
        </w:tabs>
        <w:spacing w:line="480" w:lineRule="auto"/>
        <w:contextualSpacing/>
        <w:jc w:val="both"/>
        <w:rPr>
          <w:b/>
          <w:bCs/>
        </w:rPr>
      </w:pPr>
      <w:r w:rsidRPr="00024A1B">
        <w:rPr>
          <w:b/>
          <w:bCs/>
        </w:rPr>
        <w:t>Contenidos</w:t>
      </w:r>
    </w:p>
    <w:p w:rsidR="00F60CA0" w:rsidRPr="00024A1B" w:rsidRDefault="00F60CA0" w:rsidP="00986D48">
      <w:pPr>
        <w:spacing w:line="480" w:lineRule="auto"/>
        <w:contextualSpacing/>
        <w:jc w:val="both"/>
        <w:rPr>
          <w:lang w:val="es-CO"/>
        </w:rPr>
      </w:pPr>
      <w:r w:rsidRPr="00024A1B">
        <w:rPr>
          <w:bCs/>
        </w:rPr>
        <w:t>El documen</w:t>
      </w:r>
      <w:r w:rsidR="00CD15B9">
        <w:rPr>
          <w:bCs/>
        </w:rPr>
        <w:t>to se encuentra subdividido en 3</w:t>
      </w:r>
      <w:r w:rsidRPr="00024A1B">
        <w:rPr>
          <w:bCs/>
        </w:rPr>
        <w:t xml:space="preserve"> capítulos a lo largo de los cuales se puede apreciar: </w:t>
      </w:r>
      <w:r w:rsidR="00E172CD">
        <w:rPr>
          <w:bCs/>
        </w:rPr>
        <w:t xml:space="preserve">en el capítulo 1, </w:t>
      </w:r>
      <w:r w:rsidRPr="00024A1B">
        <w:rPr>
          <w:bCs/>
        </w:rPr>
        <w:t>los antecedentes donde contextualiza</w:t>
      </w:r>
      <w:r w:rsidR="00947D66">
        <w:rPr>
          <w:bCs/>
        </w:rPr>
        <w:t xml:space="preserve"> </w:t>
      </w:r>
      <w:r w:rsidR="00CD15B9">
        <w:rPr>
          <w:bCs/>
        </w:rPr>
        <w:t>la d</w:t>
      </w:r>
      <w:r w:rsidR="00CD15B9" w:rsidRPr="00CD15B9">
        <w:rPr>
          <w:bCs/>
        </w:rPr>
        <w:t>escripción general del contexto, se describen el entorno de la empresa BRACHEM S.A.S. Se hace una breve reseña histórica y se describe misión, visión y valores corporativos. El organigrama precisa ubicación del practicante, se detallan otros aspectos como logros de la empresa, una matriz FODA,  descripción del entorno con información sobre herramientas y recursos utilizados, plan de trabajo que detalla el objetivo y productos a realizar.</w:t>
      </w:r>
      <w:r w:rsidR="00947D66">
        <w:rPr>
          <w:bCs/>
        </w:rPr>
        <w:t xml:space="preserve"> En el c</w:t>
      </w:r>
      <w:r w:rsidR="00CD15B9" w:rsidRPr="00CD15B9">
        <w:rPr>
          <w:bCs/>
        </w:rPr>
        <w:t>apítulo 2</w:t>
      </w:r>
      <w:r w:rsidR="00947D66">
        <w:rPr>
          <w:bCs/>
        </w:rPr>
        <w:t>, r</w:t>
      </w:r>
      <w:r w:rsidR="00CD15B9" w:rsidRPr="00CD15B9">
        <w:rPr>
          <w:bCs/>
        </w:rPr>
        <w:t xml:space="preserve">esultados, se presentan actividades programadas, se sustenta un análisis sobre la relación teoría-práctica, finaliza evaluando lo ejecutado con beneficios elaborados en </w:t>
      </w:r>
      <w:r w:rsidR="00CD15B9" w:rsidRPr="00CD15B9">
        <w:rPr>
          <w:bCs/>
        </w:rPr>
        <w:lastRenderedPageBreak/>
        <w:t>la práctica</w:t>
      </w:r>
      <w:r w:rsidR="00986D48">
        <w:rPr>
          <w:bCs/>
        </w:rPr>
        <w:t xml:space="preserve"> y e</w:t>
      </w:r>
      <w:r w:rsidR="00947D66">
        <w:rPr>
          <w:bCs/>
        </w:rPr>
        <w:t>n el capítulo 3, e</w:t>
      </w:r>
      <w:r w:rsidR="00CD15B9" w:rsidRPr="00CD15B9">
        <w:rPr>
          <w:bCs/>
        </w:rPr>
        <w:t>valuación general, se muestran resultados alcanzados, beneficios logrados e informe con la presentación de conclusiones y recomendaciones generales para la empresa BRACHEM SAS y UNIMINUTO</w:t>
      </w:r>
      <w:proofErr w:type="gramStart"/>
      <w:r w:rsidR="00CD15B9" w:rsidRPr="00CD15B9">
        <w:rPr>
          <w:bCs/>
        </w:rPr>
        <w:t>.</w:t>
      </w:r>
      <w:r w:rsidRPr="00024A1B">
        <w:rPr>
          <w:lang w:val="es-CO"/>
        </w:rPr>
        <w:t>.</w:t>
      </w:r>
      <w:proofErr w:type="gramEnd"/>
    </w:p>
    <w:p w:rsidR="00F60CA0" w:rsidRPr="00024A1B" w:rsidRDefault="00F60CA0" w:rsidP="00986D48">
      <w:pPr>
        <w:tabs>
          <w:tab w:val="left" w:pos="1044"/>
          <w:tab w:val="left" w:pos="5907"/>
        </w:tabs>
        <w:spacing w:line="480" w:lineRule="auto"/>
        <w:contextualSpacing/>
        <w:jc w:val="both"/>
        <w:rPr>
          <w:bCs/>
        </w:rPr>
      </w:pPr>
    </w:p>
    <w:p w:rsidR="00F60CA0" w:rsidRPr="00024A1B" w:rsidRDefault="00F60CA0" w:rsidP="00986D48">
      <w:pPr>
        <w:tabs>
          <w:tab w:val="left" w:pos="1044"/>
          <w:tab w:val="left" w:pos="5907"/>
        </w:tabs>
        <w:spacing w:line="480" w:lineRule="auto"/>
        <w:contextualSpacing/>
        <w:jc w:val="both"/>
        <w:rPr>
          <w:b/>
          <w:bCs/>
        </w:rPr>
      </w:pPr>
      <w:r w:rsidRPr="00024A1B">
        <w:rPr>
          <w:b/>
          <w:bCs/>
        </w:rPr>
        <w:t xml:space="preserve">Conclusiones </w:t>
      </w:r>
    </w:p>
    <w:p w:rsidR="00986D48" w:rsidRDefault="00986D48" w:rsidP="00986D48">
      <w:pPr>
        <w:tabs>
          <w:tab w:val="left" w:pos="5907"/>
        </w:tabs>
        <w:spacing w:line="480" w:lineRule="auto"/>
        <w:contextualSpacing/>
      </w:pPr>
      <w:r>
        <w:t>De acuerdo a los objetivos propuestos para el desarrollo de la  Práctica Profesional de Contaduría Pública con vínculo laboral en la Empresa BRACHEM S.A.S,  se ha cumplido al cien por ciento, donde se permitió identificar en la conciliación bancaria que algunos clientes no aplican el sistema de impuesto de retención de industria y comercio al momento de hacer el pago de la factura de venta teniendo la base gravable determinada para esta actividad industrial, por consiguiente se generan faltantes en la aplicación contable y al momento de presentar la exógena acarrea sanciones.</w:t>
      </w:r>
    </w:p>
    <w:p w:rsidR="00986D48" w:rsidRDefault="00986D48" w:rsidP="00986D48">
      <w:pPr>
        <w:tabs>
          <w:tab w:val="left" w:pos="5907"/>
        </w:tabs>
        <w:spacing w:line="480" w:lineRule="auto"/>
        <w:contextualSpacing/>
      </w:pPr>
      <w:r>
        <w:t>Se hizo necesario documentar los parámetros que debe tener un cliente tanto natural como jurídico para aplicar los impuestos distritales de la Ciudad de Bogotá generados por ventas de productos químicos en la empresa BRACHEM S.A.S; se propuso primero, modificarle a la factura original de ventas en el subtotal la información del impuesto aplicado con el valor y porcentaje correspondiente en cada ítem, segundo,  hacer una carta firmada por la Gerencia General dirigida a los clientes informando la Resolución DDI-052377 del 28 de junio de 2016 de la Secretaria de Hacienda Distrital donde se notifica los nuevos agentes retenedores del Impuesto de Industria y Comercio en Bogotá y el sistema de operatividad de retenciones, que permitirá identificar a que contribuyentes deberá practicarles retención de ICA.</w:t>
      </w:r>
    </w:p>
    <w:p w:rsidR="00F60CA0" w:rsidRPr="00986D48" w:rsidRDefault="00986D48" w:rsidP="00986D48">
      <w:pPr>
        <w:tabs>
          <w:tab w:val="left" w:pos="5907"/>
        </w:tabs>
        <w:spacing w:line="480" w:lineRule="auto"/>
        <w:contextualSpacing/>
      </w:pPr>
      <w:r>
        <w:t>Al implementar estas propuestas se disminuyó el 90% de faltantes en la aplicación de pagos en la conciliación bancaria a las facturas de venta de los clientes de BRACHEM S.A.S, por concepto de impuesto de retención de ICA.</w:t>
      </w:r>
    </w:p>
    <w:sectPr w:rsidR="00F60CA0" w:rsidRPr="00986D48" w:rsidSect="002804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A0"/>
    <w:rsid w:val="00064C86"/>
    <w:rsid w:val="000E4BED"/>
    <w:rsid w:val="001E2214"/>
    <w:rsid w:val="00280444"/>
    <w:rsid w:val="00463A36"/>
    <w:rsid w:val="006F0BB9"/>
    <w:rsid w:val="007958AE"/>
    <w:rsid w:val="00824A58"/>
    <w:rsid w:val="008B6A15"/>
    <w:rsid w:val="008C559F"/>
    <w:rsid w:val="00947D66"/>
    <w:rsid w:val="00986D48"/>
    <w:rsid w:val="009B4104"/>
    <w:rsid w:val="00A32A88"/>
    <w:rsid w:val="00B66B37"/>
    <w:rsid w:val="00C15516"/>
    <w:rsid w:val="00C9669A"/>
    <w:rsid w:val="00CC6350"/>
    <w:rsid w:val="00CD15B9"/>
    <w:rsid w:val="00D05630"/>
    <w:rsid w:val="00D62AB5"/>
    <w:rsid w:val="00D76A7A"/>
    <w:rsid w:val="00E172CD"/>
    <w:rsid w:val="00EE40FC"/>
    <w:rsid w:val="00F071B4"/>
    <w:rsid w:val="00F343DA"/>
    <w:rsid w:val="00F60CA0"/>
    <w:rsid w:val="00F72D9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AF3390-06B9-4AEE-8266-A175B11F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444"/>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
  <b:Source>
    <b:Tag>Ady07</b:Tag>
    <b:SourceType>InternetSite</b:SourceType>
    <b:Guid>{9B9DED71-E0BD-4BAE-9DC6-AFB63D175138}</b:Guid>
    <b:Title>Gestiopolis.com</b:Title>
    <b:Year>2007</b:Year>
    <b:Author>
      <b:Author>
        <b:NameList>
          <b:Person>
            <b:Last>Garcia</b:Last>
            <b:First>Adys</b:First>
            <b:Middle>Chespik</b:Middle>
          </b:Person>
        </b:NameList>
      </b:Author>
    </b:Author>
    <b:Month>03</b:Month>
    <b:Day>16</b:Day>
    <b:URL>https://www.gestiopolis.com/contabilidad-de-gestion-y-contabilidad-de-costos/</b:URL>
    <b:RefOrder>12</b:RefOrder>
  </b:Source>
  <b:Source>
    <b:Tag>Exp02</b:Tag>
    <b:SourceType>InternetSite</b:SourceType>
    <b:Guid>{94094798-140A-4FDC-82FC-6B5686B01AF1}</b:Guid>
    <b:Author>
      <b:Author>
        <b:NameList>
          <b:Person>
            <b:Last>gestiopolis</b:Last>
            <b:First>Experto</b:First>
          </b:Person>
        </b:NameList>
      </b:Author>
    </b:Author>
    <b:Title>gestiopolis.com</b:Title>
    <b:Year>2002</b:Year>
    <b:Month>09</b:Month>
    <b:Day>14</b:Day>
    <b:URL>https://www.gestiopolis.com/que-es-contabilidad-financiera/</b:URL>
    <b:RefOrder>10</b:RefOrder>
  </b:Source>
  <b:Source>
    <b:Tag>Jos14</b:Tag>
    <b:SourceType>InternetSite</b:SourceType>
    <b:Guid>{F9E353D2-6814-4FFE-A151-648EFA3B3E6E}</b:Guid>
    <b:Author>
      <b:Author>
        <b:NameList>
          <b:Person>
            <b:Last>Zambrano</b:Last>
            <b:First>José</b:First>
            <b:Middle>Luis</b:Middle>
          </b:Person>
        </b:NameList>
      </b:Author>
    </b:Author>
    <b:Title>Gestiopolis.com</b:Title>
    <b:Year>2014</b:Year>
    <b:Month>11</b:Month>
    <b:Day>6</b:Day>
    <b:URL>https://www.gestiopolis.com/conceptos-basicos-de-finanzas-que-un-universitario-debe-saber/</b:URL>
    <b:RefOrder>11</b:RefOrder>
  </b:Source>
  <b:Source>
    <b:Tag>Vic15</b:Tag>
    <b:SourceType>InternetSite</b:SourceType>
    <b:Guid>{9DB4BDD5-22A6-45CB-8814-8FE269B9EEF6}</b:Guid>
    <b:Author>
      <b:Author>
        <b:NameList>
          <b:Person>
            <b:Last>Lang</b:Last>
            <b:First>Victor</b:First>
            <b:Middle>Manuel</b:Middle>
          </b:Person>
        </b:NameList>
      </b:Author>
    </b:Author>
    <b:Title>Gestiopolis.com</b:Title>
    <b:Year>2015</b:Year>
    <b:Month>03</b:Month>
    <b:Day>15</b:Day>
    <b:URL>https://www.gestiopolis.com/regulacion-contable-armonizacion-y-normas-internacionales-de-contabilidad-ante-la-globalizacion/</b:URL>
    <b:RefOrder>13</b:RefOrder>
  </b:Source>
  <b:Source>
    <b:Tag>Leo12</b:Tag>
    <b:SourceType>InternetSite</b:SourceType>
    <b:Guid>{3EB16B23-4FBE-48DC-8075-700B89CB6CC0}</b:Guid>
    <b:Author>
      <b:Author>
        <b:NameList>
          <b:Person>
            <b:Last>Barón</b:Last>
            <b:First>Leonardo</b:First>
          </b:Person>
        </b:NameList>
      </b:Author>
    </b:Author>
    <b:Title>Gerencie.com</b:Title>
    <b:Year>2012</b:Year>
    <b:Month>12</b:Month>
    <b:Day>01</b:Day>
    <b:URL>https://www.gerencie.com/que-es-eso-de-la-contabilidad-tributaria.html</b:URL>
    <b:RefOrder>14</b:RefOrder>
  </b:Source>
  <b:Source>
    <b:Tag>Bra06</b:Tag>
    <b:SourceType>InternetSite</b:SourceType>
    <b:Guid>{4CFCCF81-4B4E-467D-BC2A-C155909D81D1}</b:Guid>
    <b:Author>
      <b:Author>
        <b:NameList>
          <b:Person>
            <b:Last>Ecoaditivos</b:Last>
            <b:First>Brachem</b:First>
          </b:Person>
        </b:NameList>
      </b:Author>
    </b:Author>
    <b:Title>Brachem Ecoaditivos</b:Title>
    <b:Year>2006</b:Year>
    <b:URL>http://www.brachem.co/aditivos-ecologicos.html</b:URL>
    <b:Month>09</b:Month>
    <b:RefOrder>1</b:RefOrder>
  </b:Source>
  <b:Source>
    <b:Tag>Sec17</b:Tag>
    <b:SourceType>DocumentFromInternetSite</b:SourceType>
    <b:Guid>{205F5386-977B-4B7B-AE9F-86E31F5B6C9B}</b:Guid>
    <b:Title>Sistema Tributario Distrital</b:Title>
    <b:Year>2017</b:Year>
    <b:Month>07</b:Month>
    <b:URL>http://www.shd.gov.co/shd/sites/default/files/files/impuestos/manual_normativo.pdf</b:URL>
    <b:Author>
      <b:Author>
        <b:NameList>
          <b:Person>
            <b:Last>Bogotá</b:Last>
            <b:First>Secretaria</b:First>
            <b:Middle>de Hacienda Distrital de</b:Middle>
          </b:Person>
        </b:NameList>
      </b:Author>
    </b:Author>
    <b:RefOrder>15</b:RefOrder>
  </b:Source>
  <b:Source>
    <b:Tag>DrC17</b:Tag>
    <b:SourceType>Book</b:SourceType>
    <b:Guid>{3C17834C-69C1-4541-ACC2-CF68AC05EC92}</b:Guid>
    <b:Title>Contabilidad Tributaria</b:Title>
    <b:Year>2017</b:Year>
    <b:Publisher>Ecoe Ediciones</b:Publisher>
    <b:City>Bogotá D.C.</b:City>
    <b:Author>
      <b:Author>
        <b:NameList>
          <b:Person>
            <b:Last>Vargas</b:Last>
            <b:First>Carlos</b:First>
            <b:Middle>Mario</b:Middle>
          </b:Person>
        </b:NameList>
      </b:Author>
    </b:Author>
    <b:RefOrder>2</b:RefOrder>
  </b:Source>
  <b:Source>
    <b:Tag>Sec18</b:Tag>
    <b:SourceType>InternetSite</b:SourceType>
    <b:Guid>{B48E48CF-A334-42DA-97DA-2A3D6E08A0DC}</b:Guid>
    <b:Author>
      <b:Author>
        <b:NameList>
          <b:Person>
            <b:Last>Distrital</b:Last>
            <b:First>Secretaria</b:First>
            <b:Middle>de Hacienda</b:Middle>
          </b:Person>
        </b:NameList>
      </b:Author>
    </b:Author>
    <b:Title>Manual Normativo de Impuestos Distritales</b:Title>
    <b:Year>2017</b:Year>
    <b:URL>http://www.shd.gov.co/shd/sites/default/files/files/impuestos/manual_normativo.pdf</b:URL>
    <b:Month>07</b:Month>
    <b:RefOrder>3</b:RefOrder>
  </b:Source>
  <b:Source>
    <b:Tag>Act14</b:Tag>
    <b:SourceType>InternetSite</b:SourceType>
    <b:Guid>{A2A76272-11EB-46F3-A200-3D73CF94CFA4}</b:Guid>
    <b:Title>Definición de Estados Financieros</b:Title>
    <b:Year>2014</b:Year>
    <b:Author>
      <b:Author>
        <b:Corporate>Actualicese</b:Corporate>
      </b:Author>
    </b:Author>
    <b:InternetSiteTitle>Actualicese</b:InternetSiteTitle>
    <b:Month>06</b:Month>
    <b:Day>13</b:Day>
    <b:URL>https://actualicese.com/2014/06/13/definicion-de-estados-financieros/</b:URL>
    <b:RefOrder>8</b:RefOrder>
  </b:Source>
  <b:Source>
    <b:Tag>Hor00</b:Tag>
    <b:SourceType>Book</b:SourceType>
    <b:Guid>{82555D88-9B93-4802-AD17-877C33CE43FE}</b:Guid>
    <b:Title>Introducción a la Contabilidad Financiera</b:Title>
    <b:Year>2000</b:Year>
    <b:Author>
      <b:Author>
        <b:NameList>
          <b:Person>
            <b:Last>Horngren</b:Last>
            <b:First>Sundem,</b:First>
            <b:Middle>Elliott</b:Middle>
          </b:Person>
        </b:NameList>
      </b:Author>
    </b:Author>
    <b:City>Mexico</b:City>
    <b:Publisher>Pearson educación</b:Publisher>
    <b:Pages>xv</b:Pages>
    <b:Edition>7</b:Edition>
    <b:RefOrder>4</b:RefOrder>
  </b:Source>
  <b:Source>
    <b:Tag>Ger17</b:Tag>
    <b:SourceType>InternetSite</b:SourceType>
    <b:Guid>{46F585B8-5524-4F05-B28A-5A03B1E0EFB9}</b:Guid>
    <b:Title>Registro en la contabilidad de las operaciones con terceros</b:Title>
    <b:Year>2017</b:Year>
    <b:Author>
      <b:Author>
        <b:Corporate>Gerencie.com</b:Corporate>
      </b:Author>
    </b:Author>
    <b:InternetSiteTitle>Gerencie.com</b:InternetSiteTitle>
    <b:Month>11</b:Month>
    <b:Day>06</b:Day>
    <b:URL>https://www.gerencie.com/registro-en-la-contabilidad-de-las-operaciones-con-terceros.html</b:URL>
    <b:RefOrder>9</b:RefOrder>
  </b:Source>
  <b:Source>
    <b:Tag>Gua12</b:Tag>
    <b:SourceType>Book</b:SourceType>
    <b:Guid>{30F180A4-BB4D-4F5E-ADE4-E9E6D7F68664}</b:Guid>
    <b:Author>
      <b:Author>
        <b:NameList>
          <b:Person>
            <b:Last>Guadalupe Ochoa</b:Last>
            <b:First>Roxana</b:First>
            <b:Middle>Saldivar</b:Middle>
          </b:Person>
        </b:NameList>
      </b:Author>
    </b:Author>
    <b:Title>Administración Financiera</b:Title>
    <b:Year>2012</b:Year>
    <b:City>Mexico</b:City>
    <b:Publisher>Mc Graw Hill</b:Publisher>
    <b:RefOrder>5</b:RefOrder>
  </b:Source>
  <b:Source>
    <b:Tag>Mar16</b:Tag>
    <b:SourceType>Book</b:SourceType>
    <b:Guid>{0D2742CB-7554-42B0-8E2E-7FAD60A0FD31}</b:Guid>
    <b:Author>
      <b:Author>
        <b:NameList>
          <b:Person>
            <b:Last>María Constanza Diaz</b:Last>
            <b:First>Ramiro</b:First>
            <b:Middle>Parra, lina Mría López</b:Middle>
          </b:Person>
        </b:NameList>
      </b:Author>
    </b:Author>
    <b:Title>Presupestos Enfoque para la planeación financiera</b:Title>
    <b:Year>2016</b:Year>
    <b:City>Bogotá</b:City>
    <b:Publisher>Pearson</b:Publisher>
    <b:RefOrder>6</b:RefOrder>
  </b:Source>
  <b:Source>
    <b:Tag>Alv07</b:Tag>
    <b:SourceType>Book</b:SourceType>
    <b:Guid>{864C79A9-9DAC-420A-A6C4-3DD1A9FD7CEC}</b:Guid>
    <b:Author>
      <b:Author>
        <b:NameList>
          <b:Person>
            <b:Last>Alvin Arens</b:Last>
            <b:First>Randal</b:First>
            <b:Middle>Elder y Mark Beasley</b:Middle>
          </b:Person>
        </b:NameList>
      </b:Author>
    </b:Author>
    <b:Title>Auditoría un enfoque integral</b:Title>
    <b:Year>2007</b:Year>
    <b:City>México</b:City>
    <b:Publisher>Pearson</b:Publisher>
    <b:Edition>11</b:Edition>
    <b:RefOrder>7</b:RefOrder>
  </b:Source>
</b:Sources>
</file>

<file path=customXml/itemProps1.xml><?xml version="1.0" encoding="utf-8"?>
<ds:datastoreItem xmlns:ds="http://schemas.openxmlformats.org/officeDocument/2006/customXml" ds:itemID="{3B62F8DD-9F07-4D6C-9B6B-5C612118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1015</Words>
  <Characters>5584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Maritza Ruiz Suarez</cp:lastModifiedBy>
  <cp:revision>7</cp:revision>
  <cp:lastPrinted>2016-11-12T23:40:00Z</cp:lastPrinted>
  <dcterms:created xsi:type="dcterms:W3CDTF">2018-08-18T12:59:00Z</dcterms:created>
  <dcterms:modified xsi:type="dcterms:W3CDTF">2018-08-18T13:37:00Z</dcterms:modified>
</cp:coreProperties>
</file>